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E-1728/2020 vom 16. Juni 2021</w:t>
      </w:r>
    </w:p>
    <w:p>
      <w:r>
        <w:t>Bundesverwaltungsgericht, 2021-06-16, DE</w:t>
      </w:r>
    </w:p>
    <w:p>
      <w:r>
        <w:rPr>
          <w:b/>
        </w:rPr>
        <w:t xml:space="preserve">Quelle: </w:t>
      </w:r>
      <w:r>
        <w:t>https://mcp.opencaselaw.ch/entscheid/bvger_E-1728_2020</w:t>
      </w:r>
    </w:p>
    <w:p>
      <w:r>
        <w:t>FR: TAF E-1728/2020 du 16 juin 2021</w:t>
      </w:r>
    </w:p>
    <w:p>
      <w:r>
        <w:t>IT: TAF E-1728/2020 del 16 giugno 2021</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1 AsylG und Art. 52 Abs. 1 VwVG) ist einzutreten.</w:t>
      </w:r>
    </w:p>
    <w:p>
      <w:r>
        <w:rPr>
          <w:b/>
        </w:rPr>
        <w:t>E. 3</w:t>
      </w:r>
    </w:p>
    <w:p>
      <w:r>
        <w:t>Gegenstand des vorliegenden Verfahrens bilden die Flüchtlingseigenschaft, der Asylpunkt und die verfügte Wegweisung. Der Wegweisungsvollzug ist nicht mehr zu prüfen, nachdem die Vorinstanz der Beschwerdeführerin infolge Unzumutbarkeit die vorläufige Aufnahme gewährt hat.</w:t>
      </w:r>
    </w:p>
    <w:p>
      <w:r>
        <w:rPr>
          <w:b/>
        </w:rPr>
        <w:t>E. 4</w:t>
      </w:r>
    </w:p>
    <w:p>
      <w:r>
        <w:t>Die Kognition des Bundesverwaltungsgerichts und die zulässigen Rügen richten sich im Asylbereich nach Art. 106 Abs. 1 AsylG.</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2; 136 I 184 E. 2.2.1).</w:t>
      </w:r>
    </w:p>
    <w:p>
      <w:r>
        <w:rPr>
          <w:b/>
        </w:rPr>
        <w:t>E. 5.2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Die Beschwerdeführerin bringt zunächst vor, die Vorinstanz habe ihr die Einsicht in die Akten A5/1, A6/2 und A8/1 zu Unrecht verweigert und damit den Anspruch auf rechtliches Gehör verletzt. Zudem habe sie die Pflicht zur vollständigen und richtigen Aktenführung bezüglich der Akten A16/8 und A20/4 in schwerwiegender Weise verletzt. Die entsprechenden Beweismittel seien lediglich als «Arztbericht» bezeichnet worden, obwohl es sich um zahlreiche Arztberichte handle. Wie bereits in der Zwischenverfügung vom 2. April 2020 festgestellt, sind die Akten A5/1 (Bericht ID-Abklärung), A6/2 (interne Aktennotiz betreffend Verfahrensablauf) und A8/1 (Aktennotiz betreffend Familienverhältnisse [...]) von der Vorinstanz zutreffend als interne Akten qualifiziert worden. Es handelt sich nicht um dem Akteneinsichtsrecht unterliegende interne Akten im Sinne von BGE 115 V 303. Die Vorinstanz hat zudem weder an der Staatsangehörigkeit noch an den Familienverhältnissen der Beschwerdeführerin gezweifelt. Die Rüge der Verletzung des rechtlichen Gehörs erweist sich demnach als unbegründet. Zur Rüge der Verletzung der Aktenführungspflicht ist festzuhalten, dass die Vorinstanz im Rahmen der Vernehmlassung ihrer Pflicht nachgekommen ist und die Akten A16/8 und A20/4 richtig bezeichnet und korrekt ins Aktenverzeichnis aufgenommen hat. Die unkorrekte Bezeichnung der Akten A16/8 und A20/4 und die damit verbundene Verletzung der Aktenführungspflicht ist als geringfügig zu bezeichnen, zumal der Beschwerdeführerin daraus kein Rechtsnachteil erwachsen ist.</w:t>
      </w:r>
    </w:p>
    <w:p>
      <w:r>
        <w:rPr>
          <w:b/>
        </w:rPr>
        <w:t>E. 6.2</w:t>
      </w:r>
    </w:p>
    <w:p>
      <w:r>
        <w:t>Ferner rügt die Beschwerdeführerin eine unvollständige und unrichtige Feststellung des rechtserheblichen Sachverhalts. Seit ihrer Ausreise aus dem Irak im Jahr 2016 habe ihre Gefährdung massiv zugenommen, was die Vorinstanz in der angefochtenen Verfügung weder erwähnt noch gewürdigt habe. Die Vorinstanz habe das Verfahren während dreieinhalb Jahren nicht behandelt und stütze sich auf eine Anhörung, welche vor über drei Jahren stattgefunden habe. Aufgrund der Mitwirkungspflicht (Art. 8 AsylG) ist es insbesondere nach der Anhörung Sache der Beschwerdeführerin, die Vorinstanz über weitere Ereignisse betreffend ihr Asylgesuch zu informieren und entsprechende Beweismittel einzureichen. Die Beschwerdeführerin hat denn auch in den Jahren 2017 und 2018 Beweismittel zu den Akten gereicht und hätte ohne weiteres zusätzliche einreichen können. Sodann ist ein zur Anhörung zeitnaher Entscheid der Vorinstanz grundsätzlich wünschenswert. Es gibt aber keine gesetzliche Verpflichtung, wonach die Vorinstanz nach einer gewissen verstrichenen Zeit der Beschwerdeführerin das rechtliche Gehör gewähren müsste (vgl. Urteil des BVGer D-6560/2016 vom 29. März 2018 E. 5.2). Es hätte der Beschwerdeführerin jederzeit offen gestanden, eine Rechtsverzögerungsbeschwerde einzureichen. Schliesslich wurde die Beschwerdeführerin zu den geltend gemachten Drohungen durch ihren Ehemann anlässlich der Anhörung befragt (vgl. SEM-Akten A15/16 F56 ff.). Die Frage, ob die Beschwerdeführerin aufgrund der eingereichten Beweismittel eine Gefährdung im Irak glaubhaft machen kann, betrifft nicht die Abklärung des Sachverhalts, sondern die materielle Würdigung. Die Rüge erweist sich demnach als unbegründet.</w:t>
      </w:r>
    </w:p>
    <w:p>
      <w:r>
        <w:rPr>
          <w:b/>
        </w:rPr>
        <w:t>E. 6.3</w:t>
      </w:r>
    </w:p>
    <w:p>
      <w:r>
        <w:t>Die Beschwerdeführerin macht weiter geltend, die Vorinstanz habe das rechtliche Gehör und die Begründungspflicht verletzt, indem sie es unterlassen habe, die Dossiers der Familienmitglieder beizuziehen und eine entsprechende Notiz über den Beizug anzufertigen. Ferner habe die Vor-instanz in den Erwägungen keinen Bezug auf ihre Schwester C._______ genommen. Die unterschiedliche Beurteilung der Verfolgungssituation der beiden Schwestern sei nicht nachvollziehbar. Die angefochtene Verfügung und diejenige der Schwester C._______ wurden von der gleichen Fachspezialistin verfasst und die beiden Entscheide sind am selben Tag ergangen. Sodann wird im Sachverhalt der angefochtenen Verfügung erwähnt, dass die Beschwerdeführerin mit ihrer Schwester C._______ ausgereist ist, weil diese hätte zwangsverheiratet werden sollen (vgl. angefochtene Verfügung Ziff. 2). Weiter befindet sich das Dossier der Schwester C._______ aufgrund deren (...) im Dossier der Mutter der Beschwerdeführerin (N [...]). Schliesslich wird in der angefochtenen Verfügung ausgeführt, dass sich die Mutter der Beschwerdeführerin sowie zwei weitere Geschwister in der Schweiz aufhalten und es wurden deren Dossiernummern aufgeführt. Vor diesem Hintergrund war die Vor-instanz nicht gehalten, eine separate Notiz über den Beizug der Dossiers anzufertigen. Die Frage, ob die Vorinstanz die Gefährdungslage der Beschwerdeführerin und diejenige ihrer Schwester zu Recht unterschiedlich beurteilt hat, betrifft sodann die materielle Würdigung. Eine Verletzung des rechtlichen Gehörs und der Begründungspflicht ist zu verneinen.</w:t>
      </w:r>
    </w:p>
    <w:p>
      <w:r>
        <w:rPr>
          <w:b/>
        </w:rPr>
        <w:t>E. 6.4</w:t>
      </w:r>
    </w:p>
    <w:p>
      <w:r>
        <w:t>Die formellen Rügen erweisen sich somit als unbegründet, weshalb keine Veranlassung besteht, die Sache aus formellen Gründen aufzuheben und an die Vorinstanz zurückzuweisen. Die diesbezüglichen 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7.3</w:t>
      </w:r>
    </w:p>
    <w:p>
      <w:r>
        <w:t>Befürchtungen, künftig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Verfolgungsmassnahmen ausgesetzt war, hat objektive Gründe für eine ausgeprägtere (subjektive) Furcht (vgl. BVGE 2010/57 E. 2.5; 2011/50 E. 3.1.1; 2011/51 E. 6).</w:t>
      </w:r>
    </w:p>
    <w:p>
      <w:r>
        <w:rPr>
          <w:b/>
        </w:rPr>
        <w:t>E. 8.1</w:t>
      </w:r>
    </w:p>
    <w:p>
      <w:r>
        <w:t>Die Vorinstanz gelangt in der angefochtenen Verfügung zum Schluss, die Vorbringen der Beschwerdeführerin hielten den Anforderungen an das Glaubhaftmachen gemäss Art. 7 AsylG nicht stand. Die Beschwerdeführerin habe nicht überzeugend darlegen können, wegen Ehebruch verfolgt zu werden. Anlässlich der Anhörung habe sie angegeben, die Familie ihres Ehemannes sei sehr konservativ und akzeptiere keine Scheidung, obwohl ihr Ehemann seinem Vater von seinen Trennungsabsichten erzählt habe. Ihre Familie hingegen sei nicht so konservativ. Sie habe sich mit ihrem Ehemann auf eine Trennung geeinigt, aber Angst davor gehabt, weil sie nicht gewusst habe, wer sich nach einer Scheidung um sie und ihren Sohn kümmern würde. Deshalb hätten sie die Vereinbarung getroffen, gemeinsam auszureisen und sich erst in Griechenland zu trennen. In der Anhörung habe die Beschwerdeführerin keine Furcht vor Gewaltakten erwähnt, wenn es zur Scheidung im Irak gekommen wäre. Ihre Sorgen seien vielmehr finanzieller Natur gewesen. Diese Aussagen und die weniger konservative Haltung ihrer Familie und ihres Ehemannes liessen vielmehr den Schluss zu, dass - auch wenn ihr Vater und ihr Ehemann gewalttätig gewesen sein sollten - nicht davon auszugehen sei, dass sie bei einer Rückkehr seitens dieser beiden Männer an Leib und Leben gefährdet sei. Weiter habe die Beschwerdeführerin zu Protokoll gegeben, dass ihre Schwester K._______ ihr geraten habe, nicht mehr in den Irak zurückzukehren, da sie sonst wegen den von ihrem Ehemann verbreiteten Gerüchten von ihrem Vater und Onkel getötet werden könnte. Obwohl die Beschwerdeführerin erklärt habe, mit ihrem Vater Kontakt aufgenommen zu haben, um ihren Ruf wiederherzustellen, habe sie keine Todesdrohungen durch ihren Vater erwähnt, sondern nur angegeben, er habe nicht hören wollen. Hätte ihr Vater jedoch tatsächlich eine solche Drohung ausgesprochen, wäre zu erwarten gewesen, dass sie dies anlässlich der Anhörung erwähne. Der Umstand, lediglich von ihrer Schwester K._______ über bestehende Mordabsichten in Kenntnis gesetzt worden zu sein, genüge nicht, um hinlänglich zu begründen, dass eine konkrete Gefährdungssituation vorliege.</w:t>
      </w:r>
    </w:p>
    <w:p>
      <w:r>
        <w:rPr>
          <w:b/>
        </w:rPr>
        <w:t>E. 8.2</w:t>
      </w:r>
    </w:p>
    <w:p>
      <w:r>
        <w:t>In der Rechtmitteleingabe rügt die Beschwerdeführerin, die Vorinstanz sei zu Unrecht von der Unglaubhaftigkeit ihrer Vorbringen ausgegangen, womit sie Art. 7 AsylG verletze. Die Vorinstanz verkenne ihre Gefährdungslage. Sie sei im Irak zwangsverheiratet worden. Sie habe sich mit ihrem Ehemann nicht auf eine Trennung «geeinigt», sondern geltend gemacht, er habe sie sehr schlecht behandelt und ihr immer wieder mit dem Tod gedroht. Er habe sie «loswerden» wollen. Ferner habe sie zahlreiche Berichte eingereicht, welche die Verschlimmerung ihrer Situation und derjenige der Schwester C._______ belegen würden. Es sei nicht nachvollziehbar, dass diese Entwicklung und Zuspitzung der Situation bei ihrer Schwester zur Asylgewährung, bei ihr hingegen zur Ablehnung des Asylgesuchs geführt habe. Es sei offensichtlich, dass die Vorinstanz in ihrem Fall ebenfalls von einer begründeten Furcht vor Verfolgung bei einer Rückkehr hätte ausgehen müssen. Sie habe ihrer Schwester C._______ bei der Ausreise geholfen und diese damit einer Zwangsheirat entzogen. Dies stelle eine Ehrverletzung dar, welche die Familie mit der Tötung der Schwester «bereinigen» müsse. Es sei offensichtlich, dass sich diese Ehrverletzung auch auf sie - die Beschwerdeführerin - erstrecke und sie bei einer Rückkehr in den Irak getötet werde. Zusätzlich drohe ihr eine Reflexverfolgung, weil ihre Mutter früher als (...) am (...) von L._______ gearbeitet habe.</w:t>
      </w:r>
    </w:p>
    <w:p>
      <w:r>
        <w:rPr>
          <w:b/>
        </w:rPr>
        <w:t>E. 9.1</w:t>
      </w:r>
    </w:p>
    <w:p>
      <w:r>
        <w:t>Zunächst ist festzuhalten, dass die Beschwerdeführerin anlässlich der BzP als Ausreisegrund angab, ihr Vater sei ein Tyrann und ihr Leben im Irak sei nicht gut gewesen. Sie habe früh heiraten müssen. Ihrer Schwester C._______ hätte dasselbe gedroht. Ihre Mutter lebe in der Schweiz, weshalb sie hierhergekommen sei. Zudem habe sie Probleme mit ihrem Ehemann gehabt (vgl. SEM-Akten A7/12 Ziff. 7.01 und 7.02). Anlässlich der Anhörung führte sie aus, sie habe den Irak wegen den massiven Problemen mit ihrem Ehemann verlassen (müssen). Ihr Vater habe gewollt, dass sie diesen Mann heirate, da er Geld gehabt habe. Er habe sie allerdings nie geliebt und sei gewalttätig gewesen. Auf die Frage, was der ausschlaggebende Grund für die Ausreise gewesen sei, antwortete sie zunächst, ihr Ehemann habe Schulden gehabt. Auf Nachfrage erklärte sie, er habe sie «loswerden» wollen, weil er wahrscheinlich eine andere Frau habe (vgl. SEM-Akten A15/16 F45 und F49). Vor dem Hintergrund, dass die Beschwerdeführerin geltend macht, sie sei zwangsverheiratet worden und fürchte sich vor ihrem gewalttätigen Ehemann, welcher nach seiner Rückkehr in den Irak ihren Ruf geschädigt habe, erscheint nicht nachvollziehbar, weshalb sie anlässlich der Anhörung angab, sie habe Hoffnung gehabt, dass ihr Ehemann zu ihr zurückkehre, wenn sie in Europa sei und eine Aufenthaltsbewilligung habe (vgl. a.a.O. F60). Ihre Erklärung, wonach sie dabei nur an ihren Sohn gedacht habe (vgl. a.a.O. F60), erscheint angesichts der angeblich von ihrem Ehemann ausgehenden Gefährdung keineswegs nachvollziehbar. Dies umso mehr, als die Beschwerdeführerin geltend machte, ihr Ehemann habe auch ihren Sohn geschlagen (vgl. a.a.O. F44 und F56). Gegen eine tatsächliche Gefährdung durch ihren Ehemann sprechen auch die weiteren Ausführungen der Beschwerdeführerin, wonach sie Angst vor einer Trennung im Irak gehabt habe, da sie nicht gewusst habe, wer dann für sie und ihren Sohn sorgen werde (vgl. a.a.O. F53). Weiter gab sie an, sie und ihr Ehemann hätten sich zwar auf eine Trennung in Griechenland geeinigt; sie hätte aber nie gedacht, dass er sie und ihren Sohn tatsächlich verlassen werde (vgl. a.a.O. F55). Sodann führte sie aus, sie habe schon lange mit dem Gedanken gespielt, in die Schweiz zu kommen. Es sei ihr Lebenstraum gewesen, wieder mit ihrer Mutter zusammen leben zu können (vgl. a.a.O. F37). Dem Bericht des (...) vom 12. September 2017 lässt sich schliesslich entnehmen, dass die Beschwerdeführerin vermutlich an einer (...) (vgl. SEM-Akten A16/4). Insgesamt ist es der Beschwerdeführerin demnach nicht gelungen, eine Gefährdung durch ihren Ehemann glaubhaft zu machen.</w:t>
      </w:r>
    </w:p>
    <w:p>
      <w:r>
        <w:rPr>
          <w:b/>
        </w:rPr>
        <w:t>E. 9.2</w:t>
      </w:r>
    </w:p>
    <w:p>
      <w:r>
        <w:t>Soweit die Beschwerdeführerin in der Rechtsmitteleingabe geltend macht, bei einer Rückkehr werde sie von ihrem Vater ermordet, weil sie ihre Schwester C._______ einer Zwangsheirat entzogen habe, ist festzuhalten, dass sie im Rahmen ihrer Befragungen keine Todesdrohungen durch den Vater erwähnte. Vielmehr gab sie an, als sie in Griechenland gewesen sei, habe sie ihn telefonisch kontaktiert, damit er ihr helfe, die Probleme mit ihrem Ehemann zu lösen. Ihr Vater habe jedoch kein Verständnis gezeigt (vgl. SEM-Akten A15/16 F45). Vor dem Hintergrund, dass die Beschwerdeführerin angab, ihr Vater sei ein Tyrann und habe sie zwangsverheiratet, erscheint nicht nachvollziehbar, weshalb sie sich dennoch mehrmals - auch nach der Ausreise - an diesen gewandt und um Hilfe zur Lösung ihrer Probleme gebeten hat (vgl. SEM-Akten A15/16 F44 f.). Sodann ist entgegen der Ansicht der Beschwerdeführerin ihre Konstellation nicht mit derjenigen ihrer Schwester C._______ vergleichbar. Dieser wurde Asyl gewährt, weil sie sich gemäss Einschätzung der Vorinstanz einer Zwangsheirat im Irak entzogen hat und demnach bei einer Rückkehr von einer Gefährdung durch die Familie auszugehen ist. Dies ist bei der Beschwerdeführerin gerade nicht der Fall.</w:t>
      </w:r>
    </w:p>
    <w:p>
      <w:r>
        <w:rPr>
          <w:b/>
        </w:rPr>
        <w:t>E. 9.3</w:t>
      </w:r>
    </w:p>
    <w:p>
      <w:r>
        <w:t>Ferner bringt die Beschwerdeführerin vor, ihre Gefährdungslage habe sich seit ihrer Ausreise aus dem Irak massiv zugespitzt. Gemäss den eingereichten Arztberichten und Berichten von Fachpersonen wurde sie von ihrem Ehemann und von einem Bruder in den Jahren 2016 und 2017 bedroht. Die Berichte datieren alle aus den Jahren 2017 und 2018. Seither hat die Beschwerdeführerin keine weiteren Beweismittel eingereicht, welche eine aktuelle Gefährdung belegen würden. Auch in der Rechtmitteleingabe macht sie keine seither ergangenen Bedrohungen durch ihre Familie geltend. Fraglich ist ferner, weshalb der Ehemann die Beschwerdeführerin «loswerden» wollte, um sie dann dennoch aus dem Ausland zu bedrohen. Soweit die Beschwerdeführerin schliesslich vorbringt, die eingereichten Arztberichte würden ihre Gefährdung belegen, ist festzuhalten, dass ein Arztbericht zwar eine psychische Störung beziehungsweise eine Traumatisierung belegen kann, nicht aber deren genaue Ursache (vgl. Urteil des BVGer D-5781/2012 vom 8. Mai 2015 E. 7.2.2).</w:t>
      </w:r>
    </w:p>
    <w:p>
      <w:r>
        <w:rPr>
          <w:b/>
        </w:rPr>
        <w:t>E. 9.4</w:t>
      </w:r>
    </w:p>
    <w:p>
      <w:r>
        <w:t>Schliesslich ist auf das Vorbringen der Beschwerdeführerin einzugehen, wonach ihr aufgrund der Tätigkeit ihrer Mutter als (...) am (...) von L._______ eine Reflexverfolgung drohe. Mit Verfügung vom 4. Juni 2010 erachtete das damalige Bundesamt für Migration (BFM) die Vorbringen der Mutter als nicht glaubhaft und verneinte deren Flüchtlingseigenschaft, womit eine Reflexverfolgung der Beschwerdeführerin auszuschliessen ist. Daran ändert auch der Umstand nichts, dass C._______ gleich wie die Beschwerdeführerin ausführte, die Mutter habe als (...) beim (...) in L._______ gearbeitet.</w:t>
      </w:r>
    </w:p>
    <w:p>
      <w:r>
        <w:rPr>
          <w:b/>
        </w:rPr>
        <w:t>E. 9.5</w:t>
      </w:r>
    </w:p>
    <w:p>
      <w:r>
        <w:t>Insgesamt sind die Vorbringen der Beschwerdeführerin nicht glaubhaft. Im Übrigen ist darauf hinzuweisen, dass der Wille und die Fähigkeit der kurdischen Behörden in der Autonomen Region Kurdistan, die Beschwerdeführerin vor allfälligen Drohungen ihrer Familie zu schützen, gegeben sind, wobei sich die Schutzgewährung auch auf Bedrohungen, welche im Zusammenhang mit der Ehre stehen, ausdehnt (vgl. Urteil des BVGer D-4724/2016 vom 15. März 2018 E. 5.2 m.w.H.).</w:t>
      </w:r>
    </w:p>
    <w:p>
      <w:r>
        <w:rPr>
          <w:b/>
        </w:rPr>
        <w:t>E. 9.6</w:t>
      </w:r>
    </w:p>
    <w:p>
      <w:r>
        <w:t>Zusammenfassend hat die Vorinstanz die Flüchtlingseigenschaft der Beschwerdeführerin zu Recht verneint und das Asylgesuch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Bei diesem Ausgang des Verfahrens wären die Kosten der Beschwerde-führerin aufzuerlegen (Art. 63 Abs. 1 VwVG). Da ihr mit Zwischenverfügung vom 2. April 2020 die unentgeltliche Prozessführung gewährt wurde und nicht von einer massgebenden Veränderung der finanziellen Verhältnisse der Beschwerdeführerin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