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E-1724/2018 vom 20. März 2019</w:t>
      </w:r>
    </w:p>
    <w:p>
      <w:r>
        <w:t>Bundesverwaltungsgericht, 2019-03-20, DE</w:t>
      </w:r>
    </w:p>
    <w:p>
      <w:r>
        <w:rPr>
          <w:b/>
        </w:rPr>
        <w:t xml:space="preserve">Quelle: </w:t>
      </w:r>
      <w:r>
        <w:t>https://mcp.opencaselaw.ch/entscheid/bvger_E-1724_2018</w:t>
      </w:r>
    </w:p>
    <w:p>
      <w:r>
        <w:t>FR: TAF E-1724/2018 du 20 mars 2019</w:t>
      </w:r>
    </w:p>
    <w:p>
      <w:r>
        <w:t>IT: TAF E-1724/2018 del 20 marzo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2</w:t>
      </w:r>
    </w:p>
    <w:p>
      <w:r>
        <w:t>Das Verfahren richtet sich nach dem VwVG, dem VGG und dem BGG, soweit das AsylG nichts anderes bestimmt (Art. 37 VGG und Art. 6 AsylG).</w:t>
      </w:r>
    </w:p>
    <w:p>
      <w:r>
        <w:rPr>
          <w:b/>
        </w:rPr>
        <w:t>E. 3</w:t>
      </w:r>
    </w:p>
    <w:p>
      <w:r>
        <w:t>Für das vorliegende Verfahren gilt das bisherige Recht (vgl. Abs. 1 der Übergangsbestimmungen zur Änderung des AsylG vom 25. September 2015).</w:t>
      </w:r>
    </w:p>
    <w:p>
      <w:r>
        <w:rPr>
          <w:b/>
        </w:rPr>
        <w:t>E. 4</w:t>
      </w:r>
    </w:p>
    <w:p>
      <w:r>
        <w:t>Der Beschwerdeführer ist als Verfügungsadressat zur Beschwerdeführung legitimiert (Art. 48 VwVG). Auf die frist- und formgerecht eingereichte Beschwerde ist einzutreten (aArt. 108 Abs. 1 AsylG und Art. 52 Abs. 1 VwVG).</w:t>
      </w:r>
    </w:p>
    <w:p>
      <w:r>
        <w:rPr>
          <w:b/>
        </w:rPr>
        <w:t>E. 5</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6</w:t>
      </w:r>
    </w:p>
    <w:p>
      <w:r>
        <w:t>Der Beschwerdeführer beantragt eventualiter, die Verfügung des SEM vom 19. Februar 2018 sei aufzuheben und die Sache zur erneuten Abklärung und Beurteilung an die Vorinstanz zurückzuweisen. Das blosse Rechtsbegehren wird in der Beschwerdeschrift jedoch nicht unter einem Teilaspekt des Anspruchs auf rechtliches Gehör wieder aufgenommen und bleibt somit insofern gänzlich ohne Begründung. Es kann demnach nicht darauf eingegangen werden. Soweit eine allfällige Verletzung des Grundsatzes der Untersuchungspflicht angesprochen wird, erfolgt dies im Rahmen der Rüge, das SEM habe die Sache nicht in einer Gesamtbetrachtung der Vorbringen des Beschwerdeführers gewürdigt. Dies betrifft materiell- und nicht formellrechtliche Aspekte. Es sind aufgrund der Aktenlage auch keine Gründe ersichtlich, die es als notwendig erscheinen liessen, die Sache an die Vorinstanz zu einer Neubeurteilung zurückzuweisen. Die angefochtene Verfügung beziehungsweise das vorinstanzliche Verfahren trägt dem Untersuchungsgrundsatz, dem Gebot der hinreichenden Feststellung des rechtserheblichen Sachverhaltes, der Begründungspflicht, wie auch den verschiedenen weiteren Teilbereichen des Anspruchs auf rechtliches Gehör genügend Rechnung. Der Antrag auf Rückweisung der Sache an die Vorinstanz ist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Rechtsstellung der Flüchtlinge (FK, SR 0.142.30) und Art. 3 Abs. 1-3 AsylG anzuerkennen (vgl. zum Ganzen Entscheidungen und Mitteilungen der ehemaligen Asylrekurskommission [EMARK] 2006 Nr. 3; so beispielsweise bestätigt in Urteil des BVGer E-1740/2016 vom 9. Februar 2018 E. 5.1).</w:t>
      </w:r>
    </w:p>
    <w:p>
      <w:r>
        <w:rPr>
          <w:b/>
        </w:rPr>
        <w:t>E. 8.2</w:t>
      </w:r>
    </w:p>
    <w:p>
      <w:r>
        <w:t>Eine Desertion aus dem Militärdienst ist vorliegend nicht Gegenstand der Beurteilung, sondern die Frage einer Dienstverweigerung (Refraktion) und allfälliger daraus folgender Konsequenzen. Die Vorinstanz hat in der angefochtenen Verfügung zu Recht festgestellt, die Vorbringen bezüglich des Ergehens eines militärischen Aufgebots und der davon abgeleiteten Verfolgungssituation seien unglaubhaft.</w:t>
      </w:r>
    </w:p>
    <w:p>
      <w:r>
        <w:rPr>
          <w:b/>
        </w:rPr>
        <w:t>E. 8.3</w:t>
      </w:r>
    </w:p>
    <w:p>
      <w:r>
        <w:t>Namentlich hat das SEM zutreffend festgestellt, dass der Beschwerdeführer zu zentralen Aspekten des geltend gemachten Sachverhaltes nur wenig differenzierte und detaillierte und somit substanzarme und nicht hinreichend begründete Angaben zu machen imstande war. So ist im Rahmen der Beurteilung der Glaubhaftigkeit entgegen den Einwänden in der Beschwerde insoweit nicht zu beanstanden, dass das SEM zur Einschätzung gelangte, falls sich der Beschwerdeführer in seinen Aussagen auf tatsächliche Begebnisse hätte abstützen können, auch bei einer behördlichen Vorladung in Eritrea auf dem betreffenden Dokument ein präzises Datum oder eine Frist vermerkt gewesen wäre, weshalb von ihm auch berechtigterweise hätte erwartet werden dürfen, das exakte Datum oder das Enddatum der gesetzten Frist zu nennen, an dem er bei der örtlichen Verwaltung hätte vorstellig werden müssen. Diese Erwartung ist insbesondere naheliegend, da es sich dabei um ein äusserst einschneidendes Ereignis im Leben des Beschwerdeführers gehandelt hätte. Der Einwand in der Beschwerde, er sei nicht danach gefragt worden, ob auf der Vorladung eine Frist enthalten gewesen sei oder nicht, vermag im Gesamtzusammenhang des Aussageverhaltens des Beschwerdeführers nicht zu überzeugen. Der Beschwerdeführer wurde in der Anhörung immerhin ausdrücklich angehalten, "sämtliche Eintragungen", die auf dem Aufgebot gestanden hätten und die er - nach eigenen Angaben - gelesen (und somit zur Kenntnis genommen) habe, zu nennen (Akten SEM A19/13, F26). Dabei gab er lediglich an, er hätte sich an einem Montag bei der Behörde melden sollen. Auch auf Nachfrage, ob er sich noch an etwas erinnern könne, was in diesem schriftlichen Aufgebot vermerkt gewesen sei (A19/13, F27), nannte er das zentrale Element des Vorstellungsdatums oder der Meldefrist nicht. Es trifft zu, dass er nicht explizit nach diesem Datum gefragt wurde, dennoch hätte dies zu diesem Zeitpunkt für den Beschwerdeführer (und im Gespräch mit seiner Mutter) als wesentlichster und eindrücklichster Aspekt gegolten, da er - wie das SEM in der angefochtenen Verfügung zu Recht erwog - nach diesem Fristablauf zu gewärtigen gehabt hätte, von den Behörden gezielt gesucht zu werden. Zusätzlich ist in diesem Zusammenhang festzustellen, dass es wenig nachvollziehbar erscheint, wenn der Beschwerdeführer angibt, er habe unmittelbar nach dem Erhalt der Vorladung am nächsten Tag sein Zuhause verlassen, um sich vorerst eine Woche lang zu verstecken. Dazu hätte es in Berücksichtigung der gesamten Aussagen des Beschwerdeführers keinen vernünftigen Grund gegeben, da er zu diesem Zeitpunkt gar keiner gezielten Suche der Behörden ausgesetzt gewesen wäre. Das entsprechende Aussageverhalten lässt nicht darauf schliessen, die geltend gemachten Vorbringen bezüglich des Erhalts einer Vorladung der lokalen Behörden könnten sich auf tatsächliche Begebenheiten stützen. Selbst wenn gewisse Entgegnungen in der Beschwerde einzelne Argumentsaspekte in der angefochtenen Verfügung relativieren, vermögen diese am Resultat der vorinstanzlichen Einschätzung nichts zu ändern. So ist der Einwand in der Rechtsmitteleingabe nicht unberechtigt, dass auf die Frage des SEM, was der Beschwerdeführer bezüglich des Verhaltens der Sicherheitskräfte anlässlich ihres ersten Besuchs in seinem Elternhaus erfahren habe, vom Beschwerdeführer an dieser Stelle zumindest nicht zwingend eine als wie von ihm zu Protokoll gegebene ausführlichere Antwort hätte erwartet werden müssen (A19/13, F53). Das SEM hatte keine entsprechenden Nachfragen gestellt, sondern unmittelbar darauf das Thema gewechselt (A19/13, F54 ff.). Bei dieser Sachlage kann dem Beschwerdeführer nicht vorgehalten werden, in diesem Zusammenhang unsubstanziiert ausgesagt zu haben. Demgegenüber ist die weitere Einschätzung des SEM entgegen der in der Beschwerde vertretenen Ansicht nicht zu beanstanden, wenn es feststellt, das vom Beschwerdeführer beschriebene Verhalten entspreche nicht einer tatsächlich behördlich gesuchten Person, da eine gesuchte Person jeglichen Aufenthalt an ihrem Wohnort und selbst den Gang dorthin vermieden hätte, da das Risiko erheblich gewesen wäre, von einem Spitzel der Behörden beobachtet und verraten zu werden. Aus dem gleichen Grund hätte sich eine tatsächlich gesuchte Person mit Bestimmtheit nicht monatelang auf der familieneigenen Plantage aufgehalten, wo auf den nachbarschaftlichen Plantagen familienfremde Leute gearbeitet hätten. In diesem Sinne erscheint es auch nach der Beurteilung des Gerichts insbesondere nicht nachvollziehbar, dass sich der Beschwerdeführer, wie von ihm vorgebracht, nach dem Erhalt der Vorladung zum Militärdienst im März 2013 bis zu seiner Ausreise aus Eritrea im März 2014 hauptsächlich auf der familieneigenen Plantage und zu Hause hätte aufhalten können, ohne von den nach ihm suchenden Soldaten tatsächlich aufgefunden zu werden, falls die eritreischen Behörden ernsthaft beabsichtigt hätten, den Beschwerdeführer dem Militärdienst zuführen zu wollen. Mit dem Hinweis in der Beschwerde auf den Bericht des SEM "Focus Eritrea, Update, Nationaldienst und illegale Ausreise, August 2016" wird verkannt, dass der Beschwerdeführer gemäss seinen Angaben den örtlichen Behörden namentlich bekannt gewesen sei und die Behörden seinen Wohnsitz und die familieneigenen Plantagen gekannt hätten (Akten SEM A19/13, F40, F41). Bei einer ernsthaften Rekrutierungsabsicht der ortskundigen Behörden hätte es diesen mit kaum nennenswertem Aufwand gelingen müssen, dem Beschwerdeführer habhaft zu werden, auch wenn er sich gemäss seinen Angaben vorsichtig und unauffällig verhalten habe (A19/13, F41). Die gegenteilige Darstellung in der Rechtsmitteleingabe überzeugt in Berücksichtigung der vorliegenden Gegebenheiten nicht. Bei dieser Sachlage war der Beschwerdeführer nicht in der Lage glaubhaft darzutun, im Sinne der Rechtsprechung in einem konkreten Behördenkontakt in Eritrea zur Rekrutierung gestanden, sich dieser entzogen und sich dem Vorwurf der Dienstverweigerung ausgesetzt zu haben (vgl. EMARK 2006 Nr. 3).</w:t>
      </w:r>
    </w:p>
    <w:p>
      <w:r>
        <w:rPr>
          <w:b/>
        </w:rPr>
        <w:t>E. 8.4</w:t>
      </w:r>
    </w:p>
    <w:p>
      <w:r>
        <w:t>Auch ist die Befürchtung, irgendwann in Zukunft allenfalls zum Militärdienst eingezogen und rekrutiert zu werden, nach ständiger Rechtsprechung asylrechtlich nicht massgeblich (EMARK 2006/3 E. 4.1).</w:t>
      </w:r>
    </w:p>
    <w:p>
      <w:r>
        <w:rPr>
          <w:b/>
        </w:rPr>
        <w:t>E. 8.5</w:t>
      </w:r>
    </w:p>
    <w:p>
      <w:r>
        <w:t>Zusammenfassend ist festzustellen, dass aufgrund der Aktenlage keine glaubhaften Anhaltspunkte dafür bestehen, der Beschwerdeführer hätte aus Sicht der eritreischen Behörden vor seiner Ausreise aus Eritrea als Dienstverweigerer gegolten und die eritreischen Behörden hätten darüber hinaus mit überwiegender Wahrscheinlichkeit beabsichtigt, ihn aus diesem Grund mit ernsthaften, mithin flüchtlingsrechtlich relevanten Nachteilen überziehen zu wollen.</w:t>
      </w:r>
    </w:p>
    <w:p>
      <w:r>
        <w:rPr>
          <w:b/>
        </w:rPr>
        <w:t>E. 8.6</w:t>
      </w:r>
    </w:p>
    <w:p>
      <w:r>
        <w:t>Das SEM hat demnach in der angefochtenen Verfügung zu Recht festgestellt, dass der Beschwerdeführer im Zeitpunkt seiner Ausreise aus Eritrea die Anforderungen an die Zuerkennung der Flüchtlingseigenschaft nicht erfüllte.</w:t>
      </w:r>
    </w:p>
    <w:p>
      <w:r>
        <w:rPr>
          <w:b/>
        </w:rPr>
        <w:t>E. 8.7</w:t>
      </w:r>
    </w:p>
    <w:p>
      <w:r>
        <w:t>Das Bundesverwaltungsgericht ging in früherer Rechtsprechung bis anfangs des Jahres 2017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inzwischen aufgegeben.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flüchtlingsrechtlich relevante Verfolgung drohe (a.a.O.). Nicht asylrelevant sei sodann die Möglichkeit, dass jemand nach der Rückkehr in den Nationaldienst eingezogen werde; ob eine drohende Einziehung in den Nationaldienst unter dem Blickwinkel von Art. 3 und Art. 4 EMRK relevant sein könnte, betreffe die Frage der Zulässigkeit beziehungsweise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 Der Beschwerdeführer konnte keinen konkreten Kontakt zu den eritreischen Behörden bezüglich Rekrutierung in den militärischen oder zivilen Nationaldienst glaubhaft machen. Entgegen den Vorbringen in der Rechtsmitteleingabe bestehen auch keine weiteren Hinweise darauf, dass - neben seiner angeblichen illegalen Ausreise - zusätzliche Anknüpfungspunkte existieren, welche ihn in den Augen der eritreischen Behörden als missliebige Person erscheinen lassen würden. Im Lichte der geltenden Rechtsprechung des Bundesverwaltungsgerichts erfüllt er die Flüchtlingseigenschaft deshalb auch unter diesem Gesichtspunkt nicht.</w:t>
      </w:r>
    </w:p>
    <w:p>
      <w:r>
        <w:rPr>
          <w:b/>
        </w:rPr>
        <w:t>E. 9</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Die Wegweisung wurde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des Ausländer- und Integrationsgesetzes [AIG, SR 142.20]).</w:t>
      </w:r>
    </w:p>
    <w:p>
      <w:r>
        <w:rPr>
          <w:b/>
        </w:rPr>
        <w:t>E. 10.2.1</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10.2.2</w:t>
      </w:r>
    </w:p>
    <w:p>
      <w:r>
        <w:t>In der Beschwerde wird die Auffassung vertreten, der Wegweisungsvollzug sei angesichts der drohenden Einziehung in den eritreischen Nationaldienst und einer damit verbundenen Verletzung von Art. 3 und Art. 4 Abs. 2 EMRK als unzulässig zu betrachten. Aufgrund des Alters des Beschwerdeführers erscheint die Option, bei einer Rückkehr in den Nationaldienst eingezogen zu werden, grundsätzlich gegeben (vgl. zur eritreischen Musterungspraxis auch das publizierte Referenzurteil D-2311/2016 vom 17. August 2017 E. 13.2-13.4).</w:t>
      </w:r>
    </w:p>
    <w:p>
      <w:r>
        <w:rPr>
          <w:b/>
        </w:rPr>
        <w:t>E. 10.2.3</w:t>
      </w:r>
    </w:p>
    <w:p>
      <w:r>
        <w:t>Die Frage der Zulässigkeit des Wegweisungsvollzugs bei anstehender Einziehung in den eritreischen Nationaldienst ist vom Bundesverwaltungsgericht in einem Grundsatzurteil geklärt worden (vgl. Grundsatzurteil des BVGer E-5022/2017 vom 10. Juli 2018 [als Referenzurteil publiziert]).</w:t>
      </w:r>
    </w:p>
    <w:p>
      <w:r>
        <w:rPr>
          <w:b/>
        </w:rPr>
        <w:t>E. 10.2.4</w:t>
      </w:r>
    </w:p>
    <w:p>
      <w:r>
        <w:t>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a.a.O. E. 6.1), wobei zu beachten ist, dass dies die Situation von freiwillig zurückkehrenden Personen betrifft (a.a.O. E. 6.1.7). Es kann auf die Ausführungen im genannten Urteil verwiesen werden.</w:t>
      </w:r>
    </w:p>
    <w:p>
      <w:r>
        <w:rPr>
          <w:b/>
        </w:rPr>
        <w:t>E. 10.2.5</w:t>
      </w:r>
    </w:p>
    <w:p>
      <w:r>
        <w:t>Aus den Akten ergeben sich keine weiteren Gründe für die Annahme der Unzulässigkeit des Wegweisungsvollzugs. Der Wegweisungsvollzug ist folglich als zulässig zu betrachten.</w:t>
      </w:r>
    </w:p>
    <w:p>
      <w:r>
        <w:rPr>
          <w:b/>
        </w:rPr>
        <w:t>E. 10.3.1</w:t>
      </w:r>
    </w:p>
    <w:p>
      <w:r>
        <w:t>Nach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w:t>
      </w:r>
    </w:p>
    <w:p>
      <w:r>
        <w:rPr>
          <w:b/>
        </w:rPr>
        <w:t>E. 10.3.2</w:t>
      </w:r>
    </w:p>
    <w:p>
      <w:r>
        <w:t>Die drohende Einziehung in den eritreischen Nationaldienst führt mangels einer hinreichend konkreten Gefährdung auch nicht generell zur Feststellung der Unzumutbarkeit des Wegweisungsvollzugs nach Art. 83 Abs. 4 AIG (vgl. Grundsatzurteil E-5022/2017 E. 6.2).</w:t>
      </w:r>
    </w:p>
    <w:p>
      <w:r>
        <w:rPr>
          <w:b/>
        </w:rPr>
        <w:t>E. 10.3.3</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indessen nicht mehr zwingende Voraussetzung für die Zumutbarkeit des Wegweisungsvollzugs (vgl. Referenzurteil des BVGer D-2311/2016 vom 17. August 2017 E. 16 f.).</w:t>
      </w:r>
    </w:p>
    <w:p>
      <w:r>
        <w:rPr>
          <w:b/>
        </w:rPr>
        <w:t>E. 10.3.4</w:t>
      </w:r>
    </w:p>
    <w:p>
      <w:r>
        <w:t>Der angefochtenen Verfügung ist auch in diesem Punkt im Ergebnis zuzustimmen. Es ist insgesamt nicht davon auszugehen, der Beschwerdeführer würde bei seiner Rückkehr aus individuellen Gründen wirtschaftlicher, gesundheitlicher oder sozialer Natur in eine seine Existenz gefährdende Situation geraten, die als konkrete Gefährdung im Sinne der zu beachtenden Bestimmung des Art. 83 Abs. 4 AIG zu werten wäre. Allfällige anfängliche wirtschaftliche Reintegrationsschwierigkeiten stehen im Übrigen dem Vollzug nicht entgegen, da blosse soziale oder wirtschaftliche Schwierigkeiten, von denen die ansässige Bevölkerung betroffen ist (bspw. Mangel an Arbeitsplätzen), keine existenzbedrohende Situation zu begründen vermögen (vgl. BVGE 2010/41 E. 8.3.6). Der Beschwerdeführer verfügt in seinem Heimatland mit seinen Eltern und Geschwistern über ein familiäres Beziehungsnetz sowie weitere verwandtschaftliche Bezugspersonen (A6/11, Pt. 3.01). Auch hatte er in Eritrea Arbeitserfahrungen als Landwirt auf der familieneigenen Plantage sammeln können, auf der er bei einer Rückkehr wohl wieder wird arbeiten können, um sich eine Existenzsicherung zu erwirtschaften. Der Vollzug der Wegweisung erweist sich auch als zumutbar.</w:t>
      </w:r>
    </w:p>
    <w:p>
      <w:r>
        <w:rPr>
          <w:b/>
        </w:rPr>
        <w:t>E. 10.4</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sind die Verfahrenskosten im Betrag von Fr. 750.- dem Beschwerdeführer aufzuerlegen (Art. 63 Abs. 1 VwVG). Diese sind mit dem geleisteten Kostenvorschuss gedeckt. Der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