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E-1723/2020 vom 11. März 2020</w:t>
      </w:r>
    </w:p>
    <w:p>
      <w:r>
        <w:t>Bundesverwaltungsgericht, 2020-03-11, DE</w:t>
      </w:r>
    </w:p>
    <w:p>
      <w:r>
        <w:rPr>
          <w:b/>
        </w:rPr>
        <w:t xml:space="preserve">Quelle: </w:t>
      </w:r>
      <w:r>
        <w:t>https://mcp.opencaselaw.ch/entscheid/bvger_E-1723_2020_d20200311</w:t>
      </w:r>
    </w:p>
    <w:p>
      <w:r>
        <w:t>FR: TAF E-1723/2020 du 11 mars 2020</w:t>
      </w:r>
    </w:p>
    <w:p>
      <w:r>
        <w:t>IT: TAF E-1723/2020 del 11 marzo 2020</w:t>
      </w:r>
    </w:p>
    <w:p>
      <w:pPr>
        <w:pStyle w:val="Heading2"/>
      </w:pPr>
      <w:r>
        <w:t>Regeste</w:t>
      </w:r>
    </w:p>
    <w:p>
      <w:r>
        <w:t>Asyl und Wegweisung (Mehrfachgesuch) | Asyl und Wegweisung (Mehrfachgesuch); Verfügung des SEM vom 11. März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Zusammenhang mit den Auskunftsersuchen über den Spruchkörper ist festzuhalten, dass die Zusammensetzung dem Beschwerdeführer mit Zwi- schenverfügung vom 7. April 2020 unter Vorbehalt allfälliger Wechsel mit- geteilt wurde. Soweit er diesbezüglich beantragt, es seien ihm auch die Modalitäten der Spruchkörperbildung bekannt zu geben, kann mitgeteilt werden, dass eine Neubesetzung des Spruchkörpers infolge Pensionie- rung von Richterin Christa Luterbacher vorgenommen und eine manuelle Anpassung aufgrund von objektiven und im Voraus bestimmten Kriterien vorgenommen wurde (vgl. Art. 31 Abs. 3 VGR [SR 173.320.1]). Als objek- tive Kriterien in diesem Sinne gelten Amtssprache, Beschäftigungsgrad, Belastung durch die Mitarbeit in Gerichtsgremien, Vorbefassung, Kammer- zuständigkeit, Austritt, Erweiterung des Spruchkörpers, Ausstand, enger Sachzusammenhang, Abwesenheit sowie Ausgleich der Belastungssitua- tion. Sofern seine Auskunftsbegehren über diese Informationen hinausge- hen, sind die Anträge auf Auskunft abzuweisen (zur entsprechenden Aus- kunftspraxis des Gerichts vgl. BVGE 2022 I/2).</w:t>
      </w:r>
    </w:p>
    <w:p>
      <w:r>
        <w:rPr>
          <w:b/>
        </w:rPr>
        <w:t>E. 4</w:t>
      </w:r>
    </w:p>
    <w:p>
      <w:r>
        <w:t>Prüfungsgegenstand des vorliegenden Beschwerdeverfahrens bildet die Frage, ob die Vorinstanz zu Recht auf das Gesuch vom 4. Dezember 2019 nicht eingetreten ist. Das Bundesverwaltungsgericht enthält sich, sofern es den Nichteintretensentscheid als unrechtmässig erachtet, einer materiellen Prüfung; es hebt die angefochtene Verfügung auf und weist die Sache zu neuer Entscheidung an die Vorinstanz zurück. Die Frage der Wegweisung des Vollzugs wird materiell geprüft (vgl. BVGE 2007/8 E. 2.1 m.w.H.).</w:t>
      </w:r>
    </w:p>
    <w:p>
      <w:r>
        <w:t>E-1723/2020 Seite 5</w:t>
      </w:r>
    </w:p>
    <w:p>
      <w:r>
        <w:rPr>
          <w:b/>
        </w:rPr>
        <w:t>E. 5</w:t>
      </w:r>
    </w:p>
    <w:p>
      <w:r>
        <w:t>Im Rahmen eines Verfahrens nach Art. 111c AsylG hat bei der Einschät- zung der Frage der Begründetheit des Gesuchs stets eine Auseinander- setzung mit den Argumenten sowie den eingereichten Unterlagen zu erfol- gen. Alleine aus dem Umstand, dass die angefochtene Verfügung zehn Seiten umfasst, ist – entgegen der in der Beschwerde geäusserten Auffas- sung – noch nicht von einem faktischen eintreten auf das Gesuch auszu- gehen. Dass die Vorinstanz sich von schikanösen Motiven habe leiten las- sen, ist für das Gericht nicht ersichtlich und der Beschwerdeführer war of- fensichtlich trotz der im Gesetz vorgesehenen verkürzten Beschwerdefrist in der Lage, Beschwerde zu erheben und seinen Standpunkt vorzubringen.</w:t>
      </w:r>
    </w:p>
    <w:p>
      <w:r>
        <w:rPr>
          <w:b/>
        </w:rPr>
        <w:t>E. 6</w:t>
      </w:r>
    </w:p>
    <w:p>
      <w:r>
        <w:t>In der Rechtsmitteleingabe wird der Antrag gestellt, es sei abzuklären, ob sich Daten des Beschwerdeführers auf dem Mobiltelefon der im Jahre 2019 entführten Schweizerischen Botschaftsangestellten befunden hätten. Dies- bezüglich kann mitgeteilt werden, dass sich gemäss Auskunft der Botschaft keine Daten über sich in der Schweiz aufhaltende asylsuchende Personen aus Sri Lanka auf dem beschlagnahmten Mobiltelefon der lokalen Ange- stellten der Schweizer Botschaft befanden. Der gestellte Antrag erweist sich als gegenstandlos.</w:t>
      </w:r>
    </w:p>
    <w:p>
      <w:r>
        <w:rPr>
          <w:b/>
        </w:rPr>
        <w:t>E. 7</w:t>
      </w:r>
    </w:p>
    <w:p>
      <w:r>
        <w:t>Die Vorinstanz führt in der angefochtenen Verfügung aus, die Fluchtvor- bringen des Beschwerdeführers seien bereits im vorangegangenen Ver- fahren grösstenteils als unglaubhaft und sein exilpolitisches Engagement als niederschwellig qualifiziert worden. Auf entsprechende Vorbringen sei im Rahmen des Mehrfachgesuches deshalb nicht mehr einzugehen. So- dann vermöge der Beschwerdeführer aus dem pauschalen Verweis auf ak- tuelle politische Entwicklungen, ohne Darlegung eines relevanten Bezugs zu seiner persönlichen Situation, nichts zu seinen Gunsten abzuleiten. Die eidesstattliche Erklärung seiner Mutter, welche die bisher geltend gemach- ten Fluchtvorbringen bestätige, sei als Gefälligkeitsschreiben zu qualifizie- ren. Insgesamt seien die Anforderungen an die Begründung eines Mehr- fachgesuches nicht erfüllt, weshalb darauf nicht einzutreten sei. Auch be- stünden keine Hinweise dafür, dass sich eine erneute Anhörung des Be- schwerdeführers aufdrängen würde.</w:t>
      </w:r>
    </w:p>
    <w:p>
      <w:r>
        <w:rPr>
          <w:b/>
        </w:rPr>
        <w:t>E. 8.1</w:t>
      </w:r>
    </w:p>
    <w:p>
      <w:r>
        <w:t>In der Rechtsmitteleingabe wird im Wesentlichen ausgeführt, die Vorin- stanz sei zu Unrecht auf das Mehrfachgesuch nicht eingetreten. Dieses sei</w:t>
      </w:r>
    </w:p>
    <w:p>
      <w:r>
        <w:t>E-1723/2020 Seite 6 gestützt auf die aktuellen politischen Veränderungen in Sri Lanka rechts- genüglich begründet worden und auch die übrigen Eintretensvorausset- zungen seien erfüllt. Zudem habe der Beschwerdeführer aufgrund der neuen Eingabe seine Gefährdung liquide darlegen können und ein Eintre- ten auf die Begehren dränge sich bereits aufgrund völkerrechtlicher Über- legungen auf. Indem sie ihn ferner zu den Veränderungen im Heimatland nicht angehört und aus prozessualen Überlegungen nicht sämtliche rele- vanten Umstände in ihre Prüfung einbezogen habe, verletze sie den An- spruch auf Gewährung des rechtlichen Gehörs beziehungsweise die Pflicht zur ordentlichen Begründung ihres Entscheids. Im Zusammenhang mit den im vorangegangenen ordentlichen Asylverfahren vorgebrachten Flucht- gründen lege die Vorinstanz ihrem Entscheid sodann einen falschen Sach- verhalt zugrunde und verletze dadurch die Pflicht zur vollständigen und korrekten Sachverhaltsabklärung. Vor dem Hintergrund der aktuellen poli- tischen Lage habe sich das Risikoprofil des Beschwerdeführers – auch an- gesichts seiner mittlerweile über vier Jahre andauernden exilpolitischen Tätigkeit – noch akzentuiert.</w:t>
      </w:r>
    </w:p>
    <w:p>
      <w:r>
        <w:rPr>
          <w:b/>
        </w:rPr>
        <w:t>E. 8.2</w:t>
      </w:r>
    </w:p>
    <w:p>
      <w:r>
        <w:t>Im Zusammenhang mit der Frage, ob die Vorinstanz zu Recht oder zu Unrecht nicht auf das Mehrfachgesuch eintrat, ist vorab festzuhalten, dass im vorangegangenen Asylverfahren festgestellt wurde, die Fluchtvorbrin- gen des Beschwerdeführers würden insgesamt weder den Anforderungen an die Flüchtlingseigenschaft gemäss Art. 3 AsylG noch jenen an das Glaubhaftmachen gemäss Art. 7 AsylG standhalten. Mithin wurde bereits rechtskräftig festgestellt, dass der Beschwerdeführer in seinem Heimatland keinen flüchtlingsrechtlich relevanten Verfolgungshandlungen ausgesetzt war. Soweit er in der Rechtsmitteleingabe unter Verweis auf neue Beweis- mittel geltend macht, dass Personen aus seinem näheren Umfeld verhaftet oder getötet wurden, ist festzustellen, dass – unter anderem auch aufgrund der knappen Schilderung – der Gefährdungskonnex nicht substantiiert dar- gelegt ist und den Akten auch keine entsprechenden Hinweise zu entneh- men sind, mithin der Beschwerdeführer diesbezüglich nichts zugunsten seiner eigenen und bereits als unglaubhaft qualifizierten Fluchtgründen ab- zuleiten vermag. Gleiches gilt für das Bestätigungsschreiben seiner Mutter, zumal diesem bereits angesichts des familiären Näheverhältnisses nur ein äusserst untergeordneter Beweiswert zu attestieren ist. Dass die Vo- rinstanz – auch unter Hinweis darauf, dass die Beweismittel bereits früher hätten eingereicht werden können – sich teilweise nicht vertieft mit diesen auseinandersetzte, vermag angesichts des vorstehend Ausgeführten keine Kassation zu begründen. Sodann konnte der Beschwerdeführer sowohl im Rahmen des Mehrfachgesuches als auch auf Beschwerdeebene nicht</w:t>
      </w:r>
    </w:p>
    <w:p>
      <w:r>
        <w:t>E-1723/2020 Seite 7 substantiiert darlegen, er habe sich seit dem letzten Urteil in relevanter Weise exilpolitisch betätigt. Bei dieser Ausgangslage vermag der Beschwerdeführer auch mit seinen umfangreichen Ausführungen in der Beschwerde und der Eingabe vom 24. April 2020 über die jüngere Geschichte Sri Lankas, die sich aus dem Machtwechsel im Jahre 2019 ergebenden politischen Implikationen sowie aus der Aufzählung einzelner Vorkommnisse im Heimatland nichts zu sei- nen Gunsten abzuleiten. Namentlich aufgrund des nicht konkret ersichtli- chen Bezugs dieser Ereignisse und Umstände zur persönlichen Situation des Beschwerdeführers vermag dieser auch nicht überzeugend aufzuzei- gen, dass sich sein Profil beziehungsweise dass die nicht als flüchtlings- rechtlich relevant qualifizierten Elemente seiner Verfolgungsgeschichte sich in relevanter Weise akzentuiert hätten. Trotz der ausführlichen länder- spezifischen Darlegungen im Mehrfachgesuch sowie in der Beschwerde- schrift und in der Eingabe vom 24. April 2020 erschöpft sich die Begrün- dung der neuerdings geltend gemachten Gefährdung letztendlich in hypo- thetischen Überlegungen, mit welchen er das Mehrfachgesuch nicht genü- gend zu begründen vermag. Bei dieser Ausgangslage war die Vorinstanz auch nicht gehalten, eine zu- sätzliche Anhörung durchzuführen. Aufgrund des Vorstehenden kann ins- besondere auch nicht festgestellt werden, die Vorinstanz habe ihren Ent- scheid nicht genügend begründet oder diesem einen unvollständigen oder unrichtigen Sachverhalt zugrunde gelegt, weshalb sich auch die weiteren formellen Rügen als unbegründet erweisen. Aufgrund des Ausgeführten ist festzuhalten, dass die Vorinstanz zu Recht gestützt auf Art. 111c Abs. 1 AsylG i.V.m. Art. 13 Abs. 2 VwVG auf das Mehrfachgesuch nicht eingetreten ist.</w:t>
      </w:r>
    </w:p>
    <w:p>
      <w:r>
        <w:rPr>
          <w:b/>
        </w:rPr>
        <w:t>E. 9</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w:t>
      </w:r>
    </w:p>
    <w:p>
      <w:r>
        <w:t>E-1723/2020 Seite 8</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Es ergeben sich insgesamt keine Anhaltspunkte dafür, dass der Beschwer- deführer im Falle einer Ausschaffung nach Sri Lanka dort mit beachtlicher Wahrscheinlichkeit einer nach Art. 3 EMRK oder Art. 1 FoK verbotenen Strafe oder Behandlung ausgesetzt wäre. Gemäss der Praxis des Europä- ischen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vom 28. Februar 2008, Grosse Kam- mer 37201/06, §§ 124–127 m.w.H.). Die aktuell allgemeine Menschen- rechtssituation in Sri Lanka lässt den Wegweisungsvollzug nicht in gene- reller Weise als unzulässig erscheinen (vgl. aus jüngerer Zeit, die Urteile des BVGer E-1852/2020 vom 29. November 2022 E.7 sowie E-6320/2019 vom 29. November 2022 E. 9.3, je m.w.H.). Der EGMR hat ferner</w:t>
      </w:r>
    </w:p>
    <w:p>
      <w:r>
        <w:t>E-1723/2020 Seite 9 wiederholt festgestellt, dass nicht generell davon auszugehen sei, zurück- kehrenden Tamilen und Tamilinnen drohe in Sri Lanka eine unmenschliche Behandlung (vgl. EGMR, R.J. gegen Frankreich vom 19. September 2013, Nr.10466/11, Ziff. 37). Nach dem Gesagten ist der Vollzug der Wegweisung im Sinne der völker- rechtlichen Bestimmungen zulässig.</w:t>
      </w:r>
    </w:p>
    <w:p>
      <w:r>
        <w:rPr>
          <w:b/>
        </w:rPr>
        <w:t>E. 11.2</w:t>
      </w:r>
    </w:p>
    <w:p>
      <w:r>
        <w:t>Gemäss Art. 83 Abs. 4 AIG kann der Vollzug für Ausländerinnen und Ausländer unzumutbar sein, wenn sie im Heimat- oder Herkunftsstaat auf- grund von Situationen wie Krieg, Bürgerkrieg, allgemeiner Gewalt und me- dizinischer Notlage konkret gefährdet sind. Aktuell herrscht in Sri Lanka weder Krieg noch eine Situation allgemeiner Gewalt. An dieser Einschätzung ist auch unter Berücksichtigung der aktu- ellen Entwicklungen, insbesondere auch der schweren Wirtschaftskrise im Land, welche die ganze sri-lankische Bevölkerung betrifft (vgl. statt vieler: Urteil BVGer E-5060/2020 vom 6. Juni 2023 E. 8.3.4 m.w.H.), festzuhalten. Im vorangegangenen Asylverfahren wurde festgestellt, der Beschwerde- führer verfüge über Schulbildung, Arbeitserfahrung, ein dichtes familiäres Beziehungsnetz sowie eine gesicherte Wohnsituation (vgl. Verfügung des SEM vom 28. August 2019). Der Beschwerdeführer macht in der Rechts- mitteleingabe keine Ausführungen zur individuellen Zumutbarkeit seiner Rückkehr in das Heimatland und er macht ferner nicht geltend, dass sich die persönliche oder familiäre Situation inzwischen erheblich geändert hätte oder er an gesundheitlichen Problemen leide. Der Vollzug erweist sich demgemäss als zumutbar.</w:t>
      </w:r>
    </w:p>
    <w:p>
      <w:r>
        <w:rPr>
          <w:b/>
        </w:rPr>
        <w:t>E. 11.3</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11.4</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und den rechtserheblichen Sachverhalt richtig</w:t>
      </w:r>
    </w:p>
    <w:p>
      <w:r>
        <w:t>E-1723/2020 Seite 10 sowie vollständig feststellt (Art. 106 Abs. 1 AsylG). Die Beschwerde ist da- her abzuweisen.</w:t>
      </w:r>
    </w:p>
    <w:p>
      <w:r>
        <w:rPr>
          <w:b/>
        </w:rPr>
        <w:t>E. 13</w:t>
      </w:r>
    </w:p>
    <w:p>
      <w:r>
        <w:t>Da dem Beschwerdeführer mit Zwischenverfügung vom 1. Mai 2020 die unentgeltliche Rechtspflege im Sinne von Art. 65 Abs. 1 VwVG gewährt worden ist und aufgrund der Akten nicht von einer Veränderung in den fi- nanziellen Verhältnissen auszugehen ist, sind trotz Unterliegens keine Ver- fahrenskosten zu erheben.</w:t>
      </w:r>
    </w:p>
    <w:p>
      <w:r>
        <w:t>(Dispositiv nächste Seite)</w:t>
      </w:r>
    </w:p>
    <w:p>
      <w:r>
        <w:t>E-1723/2020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