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E-1722/2010 vom 7. Juni 2010</w:t>
      </w:r>
    </w:p>
    <w:p>
      <w:r>
        <w:t>Bundesverwaltungsgericht, 2010-06-07, DE</w:t>
      </w:r>
    </w:p>
    <w:p>
      <w:r>
        <w:rPr>
          <w:b/>
        </w:rPr>
        <w:t xml:space="preserve">Quelle: </w:t>
      </w:r>
      <w:r>
        <w:t>https://mcp.opencaselaw.ch/entscheid/bvger_E-1722_2010</w:t>
      </w:r>
    </w:p>
    <w:p>
      <w:r>
        <w:t>FR: TAF E-1722/2010 du 7 juin 2010</w:t>
      </w:r>
    </w:p>
    <w:p>
      <w:r>
        <w:t>IT: TAF E-1722/2010 del 7 giugno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Ehegatten von Flüchtlingen und ihre minderjährigen Kinder werden als Flüchtlinge anerkannt und erhalten Asyl, sofern keine besonderen Umstände dagegen sprechen (Art. 51 Abs. 1 AsylG). Gemäss Art. 51 Abs. 2 AsylG können andere nahe Familienangehörige von in der Schweiz lebenden Flüchtlingen in das Familienasyl eingeschlossen werden, wenn besondere Gründe für die Familienvereinigung sprechen. Wurden die anspruchsberechtigten Personen nach den Absätzen 1 und 2 durch die Flucht getrennt und befinden sie sich im Ausland, so ist ihre Einreise auf Gesuch hin zu bewilligen (Art. 51 Abs. 4 AsylG).</w:t>
      </w:r>
    </w:p>
    <w:p>
      <w:r>
        <w:rPr>
          <w:b/>
        </w:rPr>
        <w:t>E. 4.1</w:t>
      </w:r>
    </w:p>
    <w:p>
      <w:r>
        <w:t>Der Prüfung eines derivativen Anspruchs auf Anerkennung als Flüchtling im Sinne von Art. 51 AsylG geht die Prüfung der originären Flüchtlingseigenschaft nach Art. 3 AsylG vor (Art. 37 der Asylverordnung 1 vom 11. August 1999 über Verfahrensfragen [AsylV 1, SR 142.311]). Ein Gesuch um Einbezug eines sich bereits in der Schweiz befindlichen nahen Angehörigen in das Familienasyl eines in der Schweiz asylberechtigten Flüchtlings gestützt auf Art. 51 Abs. 2 AsylG ist mithin nach Treu und Glauben auch als Asylgesuch im Sinne von Art. 18 AsylG zu verstehen (vgl. Entscheide des Schweizerischen Bundesverwaltungsgerichts [BVGE] 2007/19 E. 3.3).</w:t>
      </w:r>
    </w:p>
    <w:p>
      <w:r>
        <w:rPr>
          <w:b/>
        </w:rPr>
        <w:t>E. 4.2</w:t>
      </w:r>
    </w:p>
    <w:p>
      <w:r>
        <w:t>In der Eingabe der Beschwerdeführenden vom 8. Februar 2010, die explizit als "Gesuch um Einreisebewilligung zwecks Einbezug in die Flüchtlingseigenschaft"" und nicht als "Asylgesuch" bezeichnet wurde, wurde einzig um Einbezug der Kinder in das dem Beschwerdeführer gewährte Asyl ersucht. Da eine Gefährdung der Kinder im Heimatstaat weder geltend gemacht noch angedeutet wurde, hatte das BFM gestützt darauf keine Veranlassung zu prüfen, ob sie die Flüchtlingseigenschaft selbständig erfüllen beziehungsweise ob ihnen gemäss den Kriterien von Art. 20 Abs. 2 und 3 AsylG die Einreise in die Schweiz zu bewilligen ist.</w:t>
      </w:r>
    </w:p>
    <w:p>
      <w:r>
        <w:rPr>
          <w:b/>
        </w:rPr>
        <w:t>E. 4.3</w:t>
      </w:r>
    </w:p>
    <w:p>
      <w:r>
        <w:t>Der Beschwerdeführer hat nach eigenen Angaben bis ins Jahr 1999 regelmässig Kontakt mit seinen Kindern gepflegt. Den Akten ist zu entnehmen, dass er seit November 1997 in militärischen Einrichtungen in H._______ und I._______ Militärdienst leistete. In den Jahren 2001 bis 2006 war er in einem Gefängnis in I._______ inhaftiert und wurde darauf in ein Militärlager in J._______ verbracht, von wo er schliesslich floh und sein Heimatland verliess. Es ist demzufolge davon auszugehen, dass das Zusammenleben mit seiner Familie unfreiwillig aufgegeben wurde und er dieses nach der Flucht aus dem Militärlager nicht wieder aufnehmen konnte. Es kann dem Beschwerdeführer bei dieser Ausgangslage nicht entgegengehalten werden, dass er nicht bis zur Ausreise mit seinen Kindern zusammengelebt hat. Vielmehr wurden sie durch den Militärdienst beziehungsweise die Inhaftierung des Beschwerdeführers zwangsweise getrennt (vgl. Entscheidungen und Mitteilungen der Schweizerischen Asylrekurskommission [EMARK] 1994 Nr. 8).</w:t>
      </w:r>
    </w:p>
    <w:p>
      <w:r>
        <w:rPr>
          <w:b/>
        </w:rPr>
        <w:t>E. 4.4</w:t>
      </w:r>
    </w:p>
    <w:p>
      <w:r>
        <w:t>Die Zuerkennung der Flüchtlingseigenschaft entfällt, wenn besondere Umstände dagegen sprechen. In casu liegen jedoch keine derartigen oder ähnlichen Umstände vor, die eine Verweigerung der Flüchtlingseigenschaft nahelegen würden.</w:t>
      </w:r>
    </w:p>
    <w:p>
      <w:r>
        <w:rPr>
          <w:b/>
        </w:rPr>
        <w:t>E. 5</w:t>
      </w:r>
    </w:p>
    <w:p>
      <w:r>
        <w:t>Zusammenfassend ergibt sich, dass die Voraussetzungen von Art. 51 Abs. 1 und 4 AsylG erfüllt sind. Die Beschwerde ist gutzuheissen und die Verfügung der Vorinstanz aufzuheben. Das BFM ist anzuweisen, die Einreise der Kinder des Beschwerdeführers zu bewilligen und diese in die Flüchtlingseigenschaft ihres Vaters miteinzubeziehen.</w:t>
      </w:r>
    </w:p>
    <w:p>
      <w:r>
        <w:rPr>
          <w:b/>
        </w:rPr>
        <w:t>E. 6</w:t>
      </w:r>
    </w:p>
    <w:p>
      <w:r>
        <w:t>Bei diesem Ausgang des Beschwerdeverfahrens sind keine Verfahrenskosten zu erheben (Art. 63 Abs. 1 VwVG).</w:t>
      </w:r>
    </w:p>
    <w:p>
      <w:r>
        <w:rPr>
          <w:b/>
        </w:rPr>
        <w:t>E. 7</w:t>
      </w:r>
    </w:p>
    <w:p>
      <w:r>
        <w:t>Sodann ist den vertretenen Beschwerdeführern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Diese wird unter Berücksichtigung der als angemessen zu erachtenden Kostennote ihrer Rechtsvertreterin vom 2. Juni 2010 auf Fr. 3'174.65 (inklusive Auslagen und Mehrwertsteueranteil) festgesetzt. Mit Ausrichtung der Parteientschädigung zu Lasten des BFM wird die unentgeltliche Verbeiständung, die vom Bundesverwaltungsgericht zu vergüten wäre, gegenstandslos. (Dispositiv nächste Seite) Demach erkennt das Bundesverwaltungsgericht: 1. Die Beschwerde wird gutgeheissen. 2. Das BFM wird angewiesen, die Einreise der Kinder des Beschwerdeführers zu bewilligen und diese in die Flüchtlingseigenschaft ihres Vaters einzubeziehen. 3. Es werden keine Verfahrenskosten erhoben. 4. Das BFM wird angewiesen, dem Beschwerdeführer eine Parteientschädigung von Fr. 3'174.65 (inklusive Auslagen und Mehrwertsteuer) auszurichten. 5. Dieses Urteil geht an die Rechtsvertreterin der Beschwerdeführer, das BFM und die zuständige kantonale Behörde. Der vorsitzende 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