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E-1717/2019 vom 25. April 2019</w:t>
      </w:r>
    </w:p>
    <w:p>
      <w:r>
        <w:t>Bundesverwaltungsgericht, 2019-04-25, DE</w:t>
      </w:r>
    </w:p>
    <w:p>
      <w:r>
        <w:rPr>
          <w:b/>
        </w:rPr>
        <w:t xml:space="preserve">Quelle: </w:t>
      </w:r>
      <w:r>
        <w:t>https://mcp.opencaselaw.ch/entscheid/bvger_E-1717_2019</w:t>
      </w:r>
    </w:p>
    <w:p>
      <w:r>
        <w:t>FR: TAF E-1717/2019 du 25 avril 2019</w:t>
      </w:r>
    </w:p>
    <w:p>
      <w:r>
        <w:t>IT: TAF E-1717/2019 del 25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oder offensichtlich unbegründete Beschwerden wird in einzelrichterlicher Zuständigkeit mit Zustimmung eines zweiten Richters beziehungsweise einer zweiten Richterin entschieden(aArt.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w:t>
      </w:r>
    </w:p>
    <w:p>
      <w:r>
        <w:rPr>
          <w:b/>
        </w:rPr>
        <w:t>E. 5.1</w:t>
      </w:r>
    </w:p>
    <w:p>
      <w:r>
        <w:t>Die Vorinstanz begründete ihren Entscheid im Wesentlichen mit der fehlenden Asylrelevanz der Vorbringen der Beschwerdeführenden. Die Verurteilung des Beschwerdeführers erreiche nicht die von Art. 3 AsylG verlangte Intensität. Dass jene im Zusammenhang mit der Unterstützung seines Freundes, der für die Nationalpartei tätig gewesen sei, stehe, stelle lediglich eine Vermutung dar. Bezüglich der Belästigungen der Beschwerdeführerin und ihrer Tochter aufgrund ihres Glaubens, hält die Vorinstanz fest, die Beschwerdeführerin hätte staatlichen Schutz in Anspruch nehmen können. Die gesundheitlichen Probleme der Beschwerdeführenden seien ebenfalls nicht asylrelevant. Den Vollzug der Wegweisung erachtete die Vorinstanz als völkerrechtlich zulässig, technisch möglich und praktisch durchführbar. Individuelle Gründe, welche den Wegweisungsvollzug nach Georgien als unzumutbar erscheinen lassen würden, seien nicht gegeben. Der Beschwerdeführer könne sich bei Bedarf weiteren medizinischen Behandlungen in Georgien unterziehen. Die Kosten würden bis zu 100 % von der staatlichen Krankenkasse übernommen. Allfällige Restkosten könne er unter Berücksichtigung der guten Aussichten auf dem Arbeitsmarkt und des Umstandes, dass er ein Haus besitze, selber tragen. Bezüglich der gesundheitlichen Probleme der Beschwerdeführerin würden keine Hinweise bestehen, wonach eine allenfalls notwendige Behandlung nicht gewährleistet wäre. Auch sei nicht davon auszugehen, dass die Beschwerdeführenden aufgrund ihrer gesundheitlichen Probleme bei einer Rückkehr nach Georgien einer unmittelbaren und ernsthaften Gefährdung ausgesetzt wären.</w:t>
      </w:r>
    </w:p>
    <w:p>
      <w:r>
        <w:rPr>
          <w:b/>
        </w:rPr>
        <w:t>E. 5.2</w:t>
      </w:r>
    </w:p>
    <w:p>
      <w:r>
        <w:t>Auf Beschwerdeebene konkretisieren die Beschwerdeführenden verschiedene Punkte ihrer Aussagen und führen aus, die Beschwerdeführerin sei als Zeugin Jehovas im orthodox geprägten Georgien diversen Behelligungen ausgesetzt. Davon seien auch ihre Kinder betroffen. Der Beschwerdeführer sei aktives Mitglied der politischen Opposition in Georgien, dem eine Straftat angehängt worden sei. Folglich seien ihre Vorbringen asylrelevant. Als Laien könnten sie nicht beurteilen, inwieweit der Beschwerdeführer auf medizinische Hilfe in der Schweiz angewiesen sei. Subjektiv gesehen sei sein Gesundheitszustand sehr schlecht. Es werde derzeit abgeklärt, ob er einer Therapie in der Schweiz bedürfe. Es seien bereits zwei Operationen in den kommenden sechs Wochen geplant. Entsprechend seien sie aus medizinischen Gründen vorläufig aufzunehmen.</w:t>
      </w:r>
    </w:p>
    <w:p>
      <w:r>
        <w:rPr>
          <w:b/>
        </w:rPr>
        <w:t>E. 6</w:t>
      </w:r>
    </w:p>
    <w:p>
      <w:r>
        <w:t>Der Anspruch auf rechtliches Gehör (Art. 29 VwVG) umfasst das Recht des Betroffenen, sich vor Erlass eines in seine Rechtsstellung eingreifenden Entscheids zur Sache äussern zu können.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184E. 2.2.1).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w:t>
      </w:r>
    </w:p>
    <w:p>
      <w:r>
        <w:rPr>
          <w:b/>
        </w:rPr>
        <w:t>E. 6.1</w:t>
      </w:r>
    </w:p>
    <w:p>
      <w:r>
        <w:t>Die genannten Grundsätze sind vorliegend in mehrfacher Hinsicht verletzt, wie sich aus den nachfolgenden Erwägungen ergibt.</w:t>
      </w:r>
    </w:p>
    <w:p>
      <w:r>
        <w:rPr>
          <w:b/>
        </w:rPr>
        <w:t>E. 6.2</w:t>
      </w:r>
    </w:p>
    <w:p>
      <w:r>
        <w:t>Zunächst fällt auf, dass die angefochtene Verfügung in den Akten nicht enthalten ist. Zudem wurden die dazugehörige Empfangsbestätigung, die Identitätskarte des Beschwerdeführers sowie die Dokumente "Auswertung Erstprüfung Dokumente" vom 27. März 2019, "Meldung besonderes Vorkommnis (...)" vom 22. März 2019 und "Zuweisung zur medizinischen Abklärung" vom 12. Januar 2019 nicht ins Aktenverzeichnis aufgenommen. Damit hat die Vorinstanz ihre Aktenführungspflicht verletzt.</w:t>
      </w:r>
    </w:p>
    <w:p>
      <w:r>
        <w:rPr>
          <w:b/>
        </w:rPr>
        <w:t>E. 6.3</w:t>
      </w:r>
    </w:p>
    <w:p>
      <w:r>
        <w:t>Gemäss Art. 32 Abs. 1 VwVG würdigt die Behörde, bevor sie verfügt, alle erheblichen und rechtzeitigen Vorbringen der Partei. Gemäss Art. 33 Abs. 1 VwVG nimmt sie ferner die ihr angebotenen Beweise ab, wenn diese zur Abklärung des Sachverhalts tauglich erscheinen. Hierbei handelt es sich um Teilaspekte des Anspruchs auf rechtliches Gehör.</w:t>
      </w:r>
    </w:p>
    <w:p>
      <w:r>
        <w:rPr>
          <w:b/>
        </w:rPr>
        <w:t>E. 6.4</w:t>
      </w:r>
    </w:p>
    <w:p>
      <w:r>
        <w:t>Anlässlich der Anhörung durch die Vorinstanz wurde der Beschwerdeführer aufgefordert, in der Schweiz erstellte Arztberichte einzureichen (vgl. vorinstanzliche Akten A14 F18). Am 11. März 2019 gingen diese beim SEM ein, wurden jedoch nicht ins Aktenverzeichnis aufgenommen. Auch geht aus der angefochtenen Verfügung nicht hervor, ob das SEM diese in seine Beurteilung einbezogen hat. Der angefochtenen Verfügung lässt sich lediglich entnehmen, die Beschwerdeführenden hätten "verschiedene medizinische Unterlagen" eingereicht. Ob sich diese Feststellung auf die bereits im Rahmen der Anhörung eingereichten Dokumente oder auch auf die am 11. März 2019 eingegangenen Unterlagen bezieht, ist nicht ersichtlich. Die Pflicht zur Abnahme und Würdigung der Beweismittel und im Bedarfsfall zur Vornahme weiterer Abklärungen ist insoweit verletzt, als für das Bundesverwaltungsgericht nicht klar ist, welche Relevanz den am 11. März 2019 eingereichten Arztberichten für die Entscheidfindung zugekommen ist beziehungsweise ob diese bei der Entscheidfindung überhaupt berücksichtigt wurden. Es hätte dem SEM oblegen, diese Unterlagen im Entscheid zu erfassen und zu würdigen.</w:t>
      </w:r>
    </w:p>
    <w:p>
      <w:r>
        <w:rPr>
          <w:b/>
        </w:rPr>
        <w:t>E. 6.5</w:t>
      </w:r>
    </w:p>
    <w:p>
      <w:r>
        <w:t>Die Beschwerdeführenden haben im Rahmen des erstinstanzlichen Verfahrens mehrmals auf die gesundheitlichen Probleme des Beschwerdeführers hingewiesen und mehrere in Georgien ausgestellte Arztberichte eingereicht. Die Vorinstanz hat sich in der angefochtenen Verfügung auf allgemeine Ausführungen zum Gesundheitssystem in Georgien und auf die Feststellung, der Beschwerdeführer leide an (...), beschränkt. Worin diese bestehen, ist der angefochtenen Verfügung nicht zu entnehmen. So wird denn auch nicht erwähnt, dass der Beschwerdeführer gemäss Arztbericht vom (...) 2018 an (...) leidet und einer Operation bedurfte oder nach wie vor bedarf (geht aus dem Bericht nicht eindeutig hervor). Auch setzte sich die Vorinstanz nicht mit der beim Beschwerdeführer diagnostizierten (...) auseinander, was wohl auf die unter E. 6.4 aufgeführten Versäumnisse zurückzuführen ist. Schliesslich hat die Vorinstanz auch das bei der Beschwerdeführerin diagnostizierte (...) nicht erwähnt und sich mit den von ihr vorgebrachten gesundheitlichen Beschwerden nicht näher auseinandergesetzt.</w:t>
      </w:r>
    </w:p>
    <w:p>
      <w:r>
        <w:rPr>
          <w:b/>
        </w:rPr>
        <w:t>E. 6.6</w:t>
      </w:r>
    </w:p>
    <w:p>
      <w:r>
        <w:t>Zusammenfassend ist festzustellen, dass das SEM den Anspruch der Beschwerdeführenden auf rechtliches Gehör verletzt hat. Eine Heilung ist aufgrund der Schwere der Verletzung der Verfahrensgrundsätze vorliegend ausgeschlossen. Das SEM ist im Rahmen der wiederaufzunehmenden erstinstanzlichen Verfahren gehalten, seiner Untersuchungs- und Aktenführungspflicht nachzukommen und die Vorbringen der Beschwerdeführenden neu und rechtsgenüglich zu beurteilen. Die Beschwerde ist gutzuheissen. Die angefochtene Verfügung vom 18. März 2019 ist aufzuheben und die Sache im Sinne der Erwägungen zur neuen Beurteilung an die Vorinstanz zurückzuweisen.</w:t>
      </w:r>
    </w:p>
    <w:p>
      <w:r>
        <w:rPr>
          <w:b/>
        </w:rPr>
        <w:t>E. 7</w:t>
      </w:r>
    </w:p>
    <w:p>
      <w:r>
        <w:t>Bei diesem Ausgang des Verfahrens sind keine Kosten zu erheben (Art. 63 Abs. 1 und 2 VwVG). Damit ist das Gesuch um unentgeltliche Prozessführung gegenstandslos geworden.</w:t>
      </w:r>
    </w:p>
    <w:p>
      <w:r>
        <w:rPr>
          <w:b/>
        </w:rPr>
        <w:t>E. 8</w:t>
      </w:r>
    </w:p>
    <w:p>
      <w:r>
        <w:t>Es ist nicht davon auszugehen, dass den nicht vertretenen Beschwerdeführenden aus dem vorliegenden Verfahren Kosten im Sinne der massgeblichen Bestimmungen entstanden sind, weshalb ihnen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