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E-1714/2007 vom 26. Juli 2010</w:t>
      </w:r>
    </w:p>
    <w:p>
      <w:r>
        <w:t>Bundesverwaltungsgericht, 2010-07-26, FR</w:t>
      </w:r>
    </w:p>
    <w:p>
      <w:r>
        <w:rPr>
          <w:b/>
        </w:rPr>
        <w:t xml:space="preserve">Quelle: </w:t>
      </w:r>
      <w:r>
        <w:t>https://mcp.opencaselaw.ch/entscheid/bvger_E-1714_2007</w:t>
      </w:r>
    </w:p>
    <w:p>
      <w:r>
        <w:t>FR: TAF E-1714/2007 du 26 juillet 2010</w:t>
      </w:r>
    </w:p>
    <w:p>
      <w:r>
        <w:t>IT: TAF E-1714/2007 del 26 luglio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l'art. 33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al. 1 PA) et le délai (art. 50 al. 1 PA) prescrits par la loi, le recours est recevable.</w:t>
      </w:r>
    </w:p>
    <w:p>
      <w:r>
        <w:rPr>
          <w:b/>
        </w:rPr>
        <w:t>E. 2</w:t>
      </w:r>
    </w:p>
    <w:p>
      <w:r>
        <w:t>Le Tribunal applique le droit d'office, sans être lié par les motifs invoqués (cf. art. 62 al. 4 PA) ni par l'argumentation juridique développée par l'autorité de première instance dans la décision entreprise (cf. Pierre Moor, Droit administratif, vol. II, 2e éd., Berne 2002, p. 265, Jurisprudence et informations de la Commission suisse de recours en matière d'asile [JICRA] 2002 n° 1 consid. 1a p. 5). La procédure étant régie par la maxime inquisitoire, le Tribunal constate les faits d'office (cf. art. 12 PA) et apprécie les preuves selon sa libre conviction (cf. art. 40 de la loi du 4 décembre 1947 de procédure civile fédérale [PCF, RS 273], applicable par le renvoi de l'art. 19 PA). Par conséquent, l'argument développé par le recourant selon lequel la question de la vraisemblance des circonstances du décès de ses parents et de son appartenance à l'A. C. Génocide n'avait pas à être traitée dans la mesure où l'ODM n'avait pas remis en cause ces éléments ne saurait être retenu.</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ATAF 2008/4 consid. 5.4,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1994 n° 1 consid. 6a p. 9, JICRA 1993 n°21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4</w:t>
      </w:r>
    </w:p>
    <w:p>
      <w:r>
        <w:t>En l'occurrence, les déclarations du recourant et les documents qu'il a produits ne permettent pas de conclure à la vraisemblance des motifs invoqués ni à l'existence d'une crainte fondée de persécution au sens des dispositions précitées.</w:t>
      </w:r>
    </w:p>
    <w:p>
      <w:r>
        <w:rPr>
          <w:b/>
        </w:rPr>
        <w:t>E. 4.1</w:t>
      </w:r>
    </w:p>
    <w:p>
      <w:r>
        <w:t>En premier lieu, le Tribunal relève que l'enquête diligentée par la représentation diplomatique suisse compétente doit être considérée comme fiable. En effet, le rapport est relativement long et détaillé. A cela s'ajoute que, contrairement à ce qu'a affirmé l'intéressé, plusieurs sources d'information dignes de foi ont été consultées, lesquelles ont été mentionnées. De plus, le fait que les recherches entreprises par la même représentation diplomatique n'aient pas donné de résultats convaincants dans certains autres dossiers n'est pas déterminant. S'il y a lieu de concéder au recourant que l'enquête diligentée par la représentation diplomatique suisse compétente n'a pas fourni des réponses à toutes les questions posées, reste qu'il en ressort clairement que deux documents, produits en original par l'intéressé afin de prouver l'allégation selon laquelle il serait recherché par les autorités burundaises, à savoir la convocation et l'avis de recherche, sont des faux. Des indices de falsification portant sur la forme et le contenu du document ont été relevés. Ainsi, le cachet figurant sur la convocation n'est pas celui utilisé par la police judiciaire burundaise et il diffère de celui de l'avis de recherche alors que ces deux documents émaneraient du même commissariat. Le nom de l'officier et le motif manquent sur la convocation, laquelle est d'ailleurs rédigée à la fois à la machine et à la main. De plus, un tel document n'est remis qu'à la personne recherchée et non à un intermédiaire, contrairement à ce qu'a prétendu le recourant. Enfin, les déclarations lacunaires de l'intéressé sur les convocations prétendument reçues ne peuvent être considérées comme vraisemblables (pv. de l'audition fédérale p. 5-6), l'indication selon laquelle il aurait reçu trois convocations en tout (pv. de l'audition fédérale p. 6) étant, du reste, contredite par l'attestation de l'A. C. Génocide, produite à l'appui du recours, laquelle mentionne l'existence de quatre convocations. Quant à l'avis de recherche, il ressort du rapport d'ambassade qu'il s'agit d'un document qui reste dans les dossiers de police. A noter encore que l'entête de ce document comporte une faute et que ni les infractions ni les bases légales topiques n'y figurent puisqu'il y est simplement spécifié que la personne recherchée est poursuivie pour atteinte à la sûreté intérieure de l'Etat. Au vu de ce qui précède, le Tribunal considère, à l'instar de l'ODM, que la convocation et l'avis de recherches du 10 novembre 2006 sont des faux. Il y a, dès lors lieu de les confisquer conformément à l'art. 10 al. 4 LAsi, le recourant s'étant contenté de répéter que ces deux documents avaient bien été réceptionnées par l'A. C. Génocide et qu'il ne pouvait en expliquer les irrégularités.</w:t>
      </w:r>
    </w:p>
    <w:p>
      <w:r>
        <w:rPr>
          <w:b/>
        </w:rPr>
        <w:t>E. 4.2</w:t>
      </w:r>
    </w:p>
    <w:p>
      <w:r>
        <w:t>En deuxième lieu, le Tribunal constate que plusieurs points du récit livré par l'intéressé sont entachés d'éléments d'invraisemblance et qu'il ne peut, dès lors, emporter la conviction.</w:t>
      </w:r>
    </w:p>
    <w:p>
      <w:r>
        <w:rPr>
          <w:b/>
        </w:rPr>
        <w:t>E. 4.2.1</w:t>
      </w:r>
    </w:p>
    <w:p>
      <w:r>
        <w:t>En effet, l'intéressé a livré des propos très peu circonstanciés sur l'enquête qu'il aurait menée pendant plus de trois ans sur la mort de ses parents, de même que sur les démarches qu'il aurait entreprises en vue d'incriminer les responsables (pv. de l'audition fédérale p. 3-4). L'argument de la prudence, avancé dans le mémoire de recours, afin d'expliquer les raisons pour lesquelles il n'aurait finalement pas porté plainte, ne peut être retenu. Le recourant n'a, en effet, précisément montré aucune prudence en continuant, comme il l'a déclaré, à enquêter sur la mort de ses parents alors même qu'il aurait reçu plusieurs convocations ainsi qu'un avis de recherche et la mise en garde de membres de l'association A. C. Génocide (pv. de l'audition fédérale p. 5). Ce comportement n'est d'ailleurs pas celui d'une personne qui agit avec prudence alors qu'elle se sent menacée et réellement en danger dans son pays d'origine, pas plus que le fait que l'intéressé aurait "marché dans la rue, comme ça" en plein jour (pv. de l'audition fédérale p. 7-8), alors qu'il se serait caché, ni qu'il ait pris le risque, comme relevé à juste titre par l'ODM, de rester à Bujumbura après une première convocation. Le nouvel argument, avancé dans sa prise de position sur les résultats des recherches effectuées par l'ambassade, selon lequel il aurait proféré des menaces contre les deux responsables de l'attaque du bus dont il a fini par connaître le nom, contredit également l'attitude de prudence telle qu'invoquée au stade du recours. Enfin, l'explication selon laquelle il aurait dû aller personnellement à l'état civil chercher les extraits d'acte de décès de ses parents n'est pas convaincante, dans la mesure où l'intéressé possédait déjà un document pouvant attester de leur mort.</w:t>
      </w:r>
    </w:p>
    <w:p>
      <w:r>
        <w:rPr>
          <w:b/>
        </w:rPr>
        <w:t>E. 4.2.2</w:t>
      </w:r>
    </w:p>
    <w:p>
      <w:r>
        <w:t>Le recourant a, de plus, tenu des propos stéréotypés et peu détaillés sur les circonstances et le déroulement de son arrestation (pv. de l'audition fédérale p. 7), de même que sur les deux jours passés en détention (pv. de l'audition fédérale p. 8), événements pourtant marquants. Le fait qu'il ressorte du rapport d'ambassade que la "prison de Kigobe" en tant que telle n'existe pas est un autre élément d'invraisemblance, l'explication de l'intéressé selon laquelle il s'agit d'une appellation populaire n'étant pas suffisante. Il sied, ensuite, de s'étonner que du savon et de l'"Omo pour laver les habits", selon les dires du recourant, aient été à disposition des détenus (pv. de l'audition fédérale p. 9), alors que, selon les informations à dispositions du Tribunal, les personnes en détention au Burundi souffrent de malnutrition, allant même jusqu'à manquer d'eau. De même, sa description de son évasion de l'hôpital n'a pas été davantage convaincante (pv. de l'audition fédérale p. 10-11), l'allégation selon laquelle il aurait eu un montant de 2'000 francs burundais, caché dans sa poche, ceci après avoir été mis en détention puis hospitalisé, étant particulièrement peu plausible (pv. de l'audition fédérale p. 11). Sa déclaration selon laquelle il se serait rendu à son domicile juste après son évasion pour téléphoner, depuis chez lui, à l'A. C. Génocide, discrédite également son récit et l'existence d'une réelle menace à son encontre (pv. de l'audition fédérale p. 11). Cela étant, même s'il fallait admettre que le recourant ait effectivement été détenu durant deux jours puis hospitalisé, puisque, comme l'a invoqué le recourant, l'enquête diligentée par l'ambassade suisse n'a pas permis de l'infirmer, le Tribunal constate que rien dans le dossier ne permettrait encore de démontrer que ces événements auraient eu lieu pour les raisons invoquées par l'intéressé comme motifs d'asile.</w:t>
      </w:r>
    </w:p>
    <w:p>
      <w:r>
        <w:rPr>
          <w:b/>
        </w:rPr>
        <w:t>E. 4.3</w:t>
      </w:r>
    </w:p>
    <w:p>
      <w:r>
        <w:t>Au vu de ce qui précède, le Tribunal conclut à l'invraisemblance des motifs invoqués et à l'inexistence d'une crainte fondée de persécution actuelle en cas de retour au Burundi, ni les autres moyens de preuve déposés ni les références aux articles et sites Internet, contenant d'ailleurs des information de portée générale, ne permettant d'expliquer les nombreux éléments d'invraisemblances retenus ci-dessus et par l'ODM dans la décision attaquées.</w:t>
      </w:r>
    </w:p>
    <w:p>
      <w:r>
        <w:rPr>
          <w:b/>
        </w:rPr>
        <w:t>E. 4.4</w:t>
      </w:r>
    </w:p>
    <w:p>
      <w:r>
        <w:t>Par conséquent, la décision de l'ODM est confirmée et le recours, en tant qu'il conteste la non-reconnaissance de la qualité de réfugié et le refus de l'asile, rejeté.</w:t>
      </w:r>
    </w:p>
    <w:p>
      <w:r>
        <w:rPr>
          <w:b/>
        </w:rPr>
        <w:t>E. 5.1</w:t>
      </w:r>
    </w:p>
    <w:p>
      <w:r>
        <w:t>Lorsqu'il rejette la demande d'asile ou qu'il refuse d'entrer en matière à ce sujet, l'ODM prononce, en règle générale, le renvoi de suisse et en ordonne l'exécution ; il tient compte du principe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n'est pas licite lorsque le renvoi de l'étranger dans son Etat d'origine ou de provenance ou dans un Etat tiers est contraire aux engagements de la Suisse relevant du droit international (art. 14a al. 3 aLSEE ;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et qu'il n'y a aucun moyen de parer à ce risque soit parce qu'il est présent de la même manière sur l'ensemble du territoire de l'Etat de destination soit encore parce que les autorités de cet Etat sont empêchées d'adopter des mesures de protection élémentaires.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7.3</w:t>
      </w:r>
    </w:p>
    <w:p>
      <w:r>
        <w:t>En l'espèce, l'exécution du renvoi ne contrevient pas au principe de non-refoulement de l'art. 5 LAsi. Comme exposé ci-dessus, l'intéressé n'a pas rendu vraisemblable qu'en cas de retour dans son pays d'origine, il serait exposé à de sérieux préjudices au sens de l'art. 3 LAsi. Pour les mêmes raisons, le recourant n'a pas établi qu'il risquerait des traitements contraires aux conventions internationales ratifiées par la Suisse.</w:t>
      </w:r>
    </w:p>
    <w:p>
      <w:r>
        <w:rPr>
          <w:b/>
        </w:rPr>
        <w:t>E. 7.4</w:t>
      </w:r>
    </w:p>
    <w:p>
      <w:r>
        <w:t>Dès lors, l'exécution du renvoi du recourant sous forme de refoulement ne transgresse aucun engagement de la Suisse relevant du droit international, de sorte qu'elle s'avère licite (art. 14a al. 3 a LSEE ; art. 83 al. 3 LEtr).</w:t>
      </w:r>
    </w:p>
    <w:p>
      <w:r>
        <w:rPr>
          <w:b/>
        </w:rPr>
        <w:t>E. 8.1</w:t>
      </w:r>
    </w:p>
    <w:p>
      <w:r>
        <w:t>Selon l'art. 83 al. 4 LEtr, qui a remplacé l'art. 14a al. 4 aLSEE,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8.1.1</w:t>
      </w:r>
    </w:p>
    <w:p>
      <w:r>
        <w:t>S'agissant de la situation générale au Burundi, il convient de constater que celle-ci s'est notablement améliorée. En effet, le Tribunal relève que le Burundi, qui a connu de longue date, mais surtout de 1993 à 1996, des troubles graves opposant la minorité tutsi, détentrice des postes à responsabilité, particulièrement dans l'armée, à la majorité hutu, ne connaît plus à l'heure actuelle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Un accord de paix définitif a été signé entre les Palipehutu-FNL et le gouvernement le 7 septembre 2006. Toutefois, force est de constater qu'il n'a pas été en tout temps respecté par les deux parties belligérantes et que des troubles se sont produits. Une entente a cependant été trouvée le 4 décembre 2008 entre les rebelles et le gouvernement prévoyant, entre autres, que les rebelles devraient changer leur nom pour se conformer à la constitution et pour laisser tomber toute référence à la majorité hutu, ce que les rebelles ont fait (Human Rights Watch, World Report 2009 publié le 14 janvier 2009 ; Amnesty International, Report 2008 sur le Burundi). Ils se nomment désormais simplement FNL, ou forces nationales de libération. Le chef des FNL, Agathon Rwasa, a déclaré qu'il s'agissait d'une étape significative qui montre que la guerre est terminée et que les rebelles oeuvrent en faveur de la paix (www.burundirealite.org/news, "Les rebelles du Burundi se débarrassent de la référence ethnique dans le nom de leur mouvement", Bujumbura, le 9 janvier 2009). L'accord trouvé garantit aux FNL trente-trois postes dans l'administration du Burundi. Les FNL ont, pour leur part, accepté de désarmer et de rejoindre l'armée régulière. Les sites auxquels il est fait référence et les documents tirés d'internet produits à l'appui du recours ne sauraient modifier cette appréciation.</w:t>
      </w:r>
    </w:p>
    <w:p>
      <w:r>
        <w:rPr>
          <w:b/>
        </w:rPr>
        <w:t>E. 8.1.2</w:t>
      </w:r>
    </w:p>
    <w:p>
      <w:r>
        <w:t>En outre, le dossier ne révèle aucun élément qui impliquerait une mise en danger concrète du recourant. En effet, celui-ci est jeune et n'a pas allégué de graves problèmes de santé. En outre, il dispose d'une expérience professionnelle de plusieurs années en tant que chauffeur privé, ce qui n'est pas négligeable. Il dispose enfin d'un réseau familial (en particulier, plusieurs membres de sa famille maternelle) et assurément d'un réseau social au vu du nombre d'années passées à Bujumbura. Ces éléments devraient faciliter sa réinstallation lors de son retour dans son pays d'origine.</w:t>
      </w:r>
    </w:p>
    <w:p>
      <w:r>
        <w:rPr>
          <w:b/>
        </w:rPr>
        <w:t>E. 8.1.3</w:t>
      </w:r>
    </w:p>
    <w:p>
      <w:r>
        <w:t>Il faut enfin rappeler que les autorités d'asile peuvent exiger en matière d'exécution du renvoi un certain effort de la part de personnes dont l'âge et l'état de santé doivent leur permettre, en cas de retour, de surmonter les difficultés initiales pour se trouver un logement et un travail qui leur assure un minimum vital (cf. JICRA 1994 n° 18 consid. 4e p. 143).</w:t>
      </w:r>
    </w:p>
    <w:p>
      <w:r>
        <w:rPr>
          <w:b/>
        </w:rPr>
        <w:t>E. 8.2</w:t>
      </w:r>
    </w:p>
    <w:p>
      <w:r>
        <w:t>Pour ces motifs, l'exécution du renvoi est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14a al. 2 aLSEE ; art. 83 al. 2 LEtr).</w:t>
      </w:r>
    </w:p>
    <w:p>
      <w:r>
        <w:rPr>
          <w:b/>
        </w:rPr>
        <w:t>E. 10</w:t>
      </w:r>
    </w:p>
    <w:p>
      <w:r>
        <w:t>Cela étant, l'exécution du renvoi doit être déclarée conforme aux dispositions légales. Il s'ensuit que le recours, en tant qu'il conteste le renvoi et l'exécution de cette mesure, doit être rejeté.</w:t>
      </w:r>
    </w:p>
    <w:p>
      <w:r>
        <w:rPr>
          <w:b/>
        </w:rPr>
        <w:t>E. 11</w:t>
      </w:r>
    </w:p>
    <w:p>
      <w:r>
        <w:t>Dans la mesure où la demande d'assistance judiciaire partielle a été accordée par décision incidente du 19 mars 2007,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