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E-1706/2024 vom 11. März 2024</w:t>
      </w:r>
    </w:p>
    <w:p>
      <w:r>
        <w:t>Bundesverwaltungsgericht, 2024-03-11, DE</w:t>
      </w:r>
    </w:p>
    <w:p>
      <w:r>
        <w:rPr>
          <w:b/>
        </w:rPr>
        <w:t xml:space="preserve">Quelle: </w:t>
      </w:r>
      <w:r>
        <w:t>https://mcp.opencaselaw.ch/entscheid/bvger_E-1706_2024_d20240311</w:t>
      </w:r>
    </w:p>
    <w:p>
      <w:r>
        <w:t>FR: TAF E-1706/2024 du 11 mars 2024</w:t>
      </w:r>
    </w:p>
    <w:p>
      <w:r>
        <w:t>IT: TAF E-1706/2024 del 11 marzo 2024</w:t>
      </w:r>
    </w:p>
    <w:p>
      <w:pPr>
        <w:pStyle w:val="Heading2"/>
      </w:pPr>
      <w:r>
        <w:t>Regeste</w:t>
      </w:r>
    </w:p>
    <w:p>
      <w:r>
        <w:t>Asyl und Wegweisung (beschleunigtes Verfahren) | Asyl und Wegweisung (beschleunigtes Verfahren); Verfügung des SEM vom 11.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w:t>
      </w:r>
    </w:p>
    <w:p>
      <w:r>
        <w:t>E-1706/2024 Seite 5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108 Abs. 1 AsylG, Art. 48 Abs. 1 sowie Art. 52 Abs. 1 VwVG).</w:t>
      </w:r>
    </w:p>
    <w:p>
      <w:r>
        <w:rPr>
          <w:b/>
        </w:rPr>
        <w:t>E. 2</w:t>
      </w:r>
    </w:p>
    <w:p>
      <w:r>
        <w:t>Mangels Rechtsschutzinteresse ist auf den (subsidiär gestellten) prozessu- alen Antrag um Wiederherstellung der aufschiebenden Wirkung (Be- schwerdeantrag 5) nicht einzutreten, weil diese der Beschwerde schon von Gesetzes wegen zukommt (Art. 55 Abs. 1 VwVG) und von der Vorinstanz vorliegend nicht entzogen wurde.</w:t>
      </w:r>
    </w:p>
    <w:p>
      <w:r>
        <w:rPr>
          <w:b/>
        </w:rPr>
        <w:t>E. 3</w:t>
      </w:r>
    </w:p>
    <w:p>
      <w:r>
        <w:t>Nachdem dem Beschwerdeführer mit der Eröffnung des SEM-Entscheides am 11. März 2024 die editonspflichtigen Akten ausgehändigt wurden, ist davon auszugehen, dass der auf Seite 1 der Formularbeschwerde gestellte Antrag auf Akteneinsicht gegenstandlos ist.</w:t>
      </w:r>
    </w:p>
    <w:p>
      <w:r>
        <w:rPr>
          <w:b/>
        </w:rPr>
        <w:t>E. 4</w:t>
      </w:r>
    </w:p>
    <w:p>
      <w:r>
        <w:t>Die Kognition des Bundesverwaltungsgerichts und die zulässigen Rügen richten sich im Asylbereich nach Art. 106 Abs. 1 AsylG, im Bereich des Aus- länderrechts nach Art. 49 VwVG (vgl. BVGE 2014/26 E. 5).</w:t>
      </w:r>
    </w:p>
    <w:p>
      <w:r>
        <w:rPr>
          <w:b/>
        </w:rPr>
        <w:t>E. 5</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6.1</w:t>
      </w:r>
    </w:p>
    <w:p>
      <w:r>
        <w:t>Gemäss Art. 2 Abs. 1 AsylG gewährt die Schweiz Flüchtlingen grund- sätzlich Asyl. Flüchtlinge sind Personen, die in ihrem Heimatstaat oder im Land, in dem sie zuletzt wohnten, wegen ihrer Rasse, Religion,</w:t>
      </w:r>
    </w:p>
    <w:p>
      <w:r>
        <w:t>E-1706/2024 Seite 6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7.1</w:t>
      </w:r>
    </w:p>
    <w:p>
      <w:r>
        <w:t>Das SEM führt zur Begründung des Asylentscheids im Wesentlichen aus, die Vorbringen des Beschwerdeführers würden den Anforderungen an die Glaubhaftmachung nicht genügen. Der Beschwerdeführer habe zwar vorgetragen, dass die heimatlichen Sicherheitskräfte bis heute nach ihm suchen würden, weil sie ihn als Anführer des FNDC erachten würden. Die- ses Vorbringen lasse sich jedoch nicht mit den weiteren Angaben verein- baren, dass er sich nach der Teilnahme an der ersten Demonstration nur für kurze Zeit habe verstecken müssen und danach wieder jahrelang un- behelligt am angestammten Wohnort habe leben können. Seine Angabe, wonach er angeblich zwei Mal innert fünf Jahren bei Kundgebungen vorne mitgelaufen sei, vermöge nicht darzulegen, dass er ein spezielles Profil aufweise, das eine gezielte Verfolgungsmotivation seitens der Sicherheits- kräfte plausibel erscheinen liesse. Er habe die angeblichen Mobilisierungs- aktivitäten für den FNDC nur widersprüchlich schildern können. Auch seine Angaben zum Datum der ersten Demonstration seien nicht übereinstim- mend ausgefallen. Er sei auch nicht in der Lage gewesen, anzugeben, wo- für die Organisation FNDC stehe und seine Angabe zur Gründung dieser Gruppierung sei tatsachenwidrig. Er habe auch die Fragen zu den näheren Umständen seiner Teilnahme an der zweiten Kundgebung nur auswei- chend und vage beantwortet. Seinen Aussagen mangle es an Angaben,</w:t>
      </w:r>
    </w:p>
    <w:p>
      <w:r>
        <w:t>E-1706/2024 Seite 7 die auf ein individuell tatsächlich erlebtes Geschehen hindeuten würden. An dieser Einschätzung vermöchten auch die drei eingereichten Fotoab- züge nichts zu ändern, nachdem die Angaben des Beschwerdeführers zu diesen Beweismitteln widersprüchlich ausgefallen seien. In der Stellungnahme zum Entscheidentwurf habe der Beschwerdeführer geltend gemacht, seine Aussagen seien aufgrund seines Bildungshinter- grundes wenig detailliert ausgefallen. Er berufe sich einerseits auf ein tie- fes Bildungsniveau, andererseits wolle er als Sprachrohr einer politischen Gruppierung aufgetreten und sich im Protestgeschehen aktiv beteiligt ha- ben. Sollte die Sprache tatsächlich das Mittel gewesen sein, um politisch aktiv gegen aussen aufzutreten, wäre umso mehr zu erwarten gewesen, dass er tatsächlich Erlebtes entsprechend lebhaft und überzeugend hätte darstellen können. Er habe weiter gerügt, das SEM habe sich nicht zur Situation in Guinea verlauten lassen. Hierzu sei anzufügen, dass Guinea 2017 und 2018 von zivilen Unruhen erschüttert worden sei. Die Wiederwahl für eine dritte Amtszeit von Präsident Alpha Condé am 18. Oktober 2020 sei von seinen Gegnern angefochten worden. Bei Kundgebungen um das Verfassungsreferendum im März 2020 und die Präsidentschaftswahlen im Oktober 2020 habe es mehrere Tote gegeben. Am 5. September 2021 habe ein Militärputsch zur Verhaftung von Präsident Alpha Condé und zur Ankündigung der Aussetzung der Verfassung und der Auflösung der Re- gierung geführt. Trotz der politischen Instabilität liege in Guinea keine Situ- ation von Krieg, Bürgerkrieg oder von allgemeiner Gewalt vor, aufgrund derer die Zivilbevölkerung generell als konkret gefährdet zu bezeichnen wäre. Der Wegweisungsvollzug sei zulässig, zumutbar und möglich. Insbeson- dere sei nicht davon auszugehen, dass der Beschwerdeführer bei einer Rückkehr nach Guinea in eine existenzielle Notlage geraten werde.</w:t>
      </w:r>
    </w:p>
    <w:p>
      <w:r>
        <w:rPr>
          <w:b/>
        </w:rPr>
        <w:t>E. 7.2</w:t>
      </w:r>
    </w:p>
    <w:p>
      <w:r>
        <w:t>In der Rechtsmitteleingabe macht der Beschwerdeführer geltend, er werde im Falle einer Rückkehr nach Guinea von den Behörden aufgegrif- fen, inhaftiert und zum Tod verurteilt. Er habe eine begründete Furcht vor asylbeachtlichen Nachteilen. Die erste Kundgebung habe am 14. Oktober 2019 stattgefunden; es habe 15 Tote gegeben.</w:t>
      </w:r>
    </w:p>
    <w:p>
      <w:r>
        <w:rPr>
          <w:b/>
        </w:rPr>
        <w:t>E. 8.1</w:t>
      </w:r>
    </w:p>
    <w:p>
      <w:r>
        <w:t>Nach Prüfung der Akten kommt das Bundesverwaltungsgericht zum Schluss, dass die vorinstanzliche Auffassung zu bestätigen ist.</w:t>
      </w:r>
    </w:p>
    <w:p>
      <w:r>
        <w:t>E-1706/2024 Seite 8</w:t>
      </w:r>
    </w:p>
    <w:p>
      <w:r>
        <w:rPr>
          <w:b/>
        </w:rPr>
        <w:t>E. 8.2</w:t>
      </w:r>
    </w:p>
    <w:p>
      <w:r>
        <w:t>Der Beschwerdeführer macht im Wesentlichen geltend, ihm drohe in Guinea eine asylbeachtliche Verfolgung, weil er sich für die Organisation FNDC engagiert und an zwei Demonstrationen teilgenommen habe.</w:t>
      </w:r>
    </w:p>
    <w:p>
      <w:r>
        <w:rPr>
          <w:b/>
        </w:rPr>
        <w:t>E. 8.3</w:t>
      </w:r>
    </w:p>
    <w:p>
      <w:r>
        <w:t>Wie das SEM zutreffend ausgeführt hat, ist es dem Beschwerdeführer nicht gelungen, asylbeachtliche Nachteile im Sinne des Asylgesetzes glaubhaft darzutun.</w:t>
      </w:r>
    </w:p>
    <w:p>
      <w:r>
        <w:rPr>
          <w:b/>
        </w:rPr>
        <w:t>E. 8.3.1</w:t>
      </w:r>
    </w:p>
    <w:p>
      <w:r>
        <w:t>Vorweg ist festzuhalten, dass die Angaben des Beschwerdeführers zur angeblich entfalteten politischen Tätigkeit äusserst vage und auswei- chend ausgefallen sind. Er wurde in der Anhörung mehrfach aufgefordert, die von ihm ausgeführten politischen Aktivitäten und sein Engagement für den FNDC detailliert zu schildern. Seine diesbezüglichen Ausführungen er- schöpfen sich in stereotypen Angaben ohne Realkennzeichen, die auf tat- sächlich persönlich Erlebtes hinweisen würden (vgl. SEM-Akte […] [nach- folgend: Akte]-17, Antworten 89, 91, 96-99 und 119 ff.).</w:t>
      </w:r>
    </w:p>
    <w:p>
      <w:r>
        <w:rPr>
          <w:b/>
        </w:rPr>
        <w:t>E. 8.3.2</w:t>
      </w:r>
    </w:p>
    <w:p>
      <w:r>
        <w:t>Er war auch nicht in der Lage, genauere Angaben zur Bezeichnung der angeblich von ihm unterstützten Organisation FNDC zu machen (vgl. Akte 17, Antworten 86-88). Seine Ausführungen beschränken sich auf die Angabe, es habe sich um die Partei der Jugendlichen gehandelt. Nähere Angaben zur Ideologie und zu den Zielen des FNDC, die auf ein echtes Engagement schliessen liessen, vermochte er nicht zu Protokoll zu geben. Wie das SEM zutreffend festhielt, vermag der Umstand, dass der Be- schwerdeführer zwei Aktivisten des FNDC zu nennen vermochte (vgl. Akte 17, Antwort 137), für sich alleine nicht auf ein exponiertes politisches En- gagement zu schliessen, nachdem diese Personen in der Öffentlichkeit in Guinea allgemein bekannt und entsprechend Informationen zu ihren Per- sonen im Internet und den Medien veröffentlicht wurden.</w:t>
      </w:r>
    </w:p>
    <w:p>
      <w:r>
        <w:rPr>
          <w:b/>
        </w:rPr>
        <w:t>E. 8.3.3</w:t>
      </w:r>
    </w:p>
    <w:p>
      <w:r>
        <w:t>Zweifel wecken auch die Angaben betreffend seine Teilnahme an der ersten Demonstration, zu deren Datum er sich widersprüchlich äussert. Während er diese in der freien Rede am 14. September 2019 ansiedelt (Akte 17, Antwort 84), gibt er später an, die besagte Kundgebung habe einen Monat später, am 14. Oktober 2019, stattgefunden (Akte 17, Antwor- ten 93 und 99). Auf Seite 1 seiner Rechtsmitteleingabe hält er wiederum fest, dass die erste Kundgebung am 14. Oktober 2019 stattgefunden habe, ohne aber seine widersprüchlichen Angaben plausibel aufzuklären.</w:t>
      </w:r>
    </w:p>
    <w:p>
      <w:r>
        <w:rPr>
          <w:b/>
        </w:rPr>
        <w:t>E. 8.3.4</w:t>
      </w:r>
    </w:p>
    <w:p>
      <w:r>
        <w:t>Auch die eingereichten Fotoabzüge vermögen die vom Beschwerde- führer behauptete exponierte politische Aktivität und die angeblich daraus</w:t>
      </w:r>
    </w:p>
    <w:p>
      <w:r>
        <w:t>E-1706/2024 Seite 9 resultierende Verfolgungssituation nicht als überwiegend wahrscheinlich darzutun. Einerseits sind die Schilderungen des Beschwerdeführers zum Zeitpunkt und zum Anlass der Fotos mit Widersprüchen behaftet. So hat das SEM zutreffend festgestellt, dass er diese Fotos anlässlich der Demonstration vom 14. Oktober 2019 aufgenommen haben will. Er hat explizit in Abrede gestellt, die Aufnahmen bei der zweiten Kundgebung im Mai 2022 gemacht zu haben. Im weiteren Verlauf derselben Anhörung gab er jedoch zu Pro- tokoll, er habe die besagten Bilder am Tag seiner Ausreise (im Mai 2022) erstellt (vgl. Akte 17, Antworten 99 und 128 respektive davon abweichend: Antwort 82). Andererseits lassen die abgebildeten Szenen (ein auf dem Boden liegen- der, nicht identifizierbarer Mann sowie ein Mann mit Hut bei einer Massen- veranstaltung) keine Rückschlüsse auf einen politischen, flüchtlingsrecht- lich beachtlichen Hintergrund zu.</w:t>
      </w:r>
    </w:p>
    <w:p>
      <w:r>
        <w:rPr>
          <w:b/>
        </w:rPr>
        <w:t>E. 8.4</w:t>
      </w:r>
    </w:p>
    <w:p>
      <w:r>
        <w:t>In der Rechtsmitteleingabe setzt sich der Beschwerdeführer nicht mit den ihm vom SEM vorgehaltenen Widersprüchen und Unstimmigkeiten in- nerhalb seiner Angaben konkret auseinander. Er beschränkt sich darauf, auf Seite 1 der Beschwerde festzuhalten, die erste Kundgebung habe am 14. Oktober 2019 stattgefunden. In der Formularbeschwerde werden kei- nerlei sonstige, spezifische Ausführungen gemacht; diese beschränken sich inhaltlich auf blosse Textbausteine ohne konkreten Bezug zur Person des Beschwerdeführers oder zu dessen Asylverfahren. Im Rechtsmittelver- fahren wurden somit keine stichhaltigen Argumente vorgetragen, die die vorinstanzliche Würdigung seiner Asylvorbringen in Frage stellen könnten.</w:t>
      </w:r>
    </w:p>
    <w:p>
      <w:r>
        <w:rPr>
          <w:b/>
        </w:rPr>
        <w:t>E. 8.5</w:t>
      </w:r>
    </w:p>
    <w:p>
      <w:r>
        <w:t>Wie das SEM im angefochtenen Entscheid schliesslich zutreffend fest- hielt, vermag auch das in der Stellungnahme zum Entscheidentwurf vorge- tragene Argument der tiefen Schulbildung des Beschwerdeführers die auf- gezeigten Widersprüche und die mangelnde Detailliertheit der Angaben nicht plausibel zu erklären.</w:t>
      </w:r>
    </w:p>
    <w:p>
      <w:r>
        <w:rPr>
          <w:b/>
        </w:rPr>
        <w:t>E. 8.6</w:t>
      </w:r>
    </w:p>
    <w:p>
      <w:r>
        <w:t>Zusammenfassend ist festzuhalten, dass es dem Beschwerdeführer nicht gelungen ist, asylrechtlich relevante Verfolgungsgründe im Sinne von Art. 3 AsylG, insbesondere eine ihm drohende, asylbeachtliche Verfolgung wegen der Entfaltung oppositioneller Polittätigkeiten glaubhaft darzutun. Das SEM hat daher zu Recht die Flüchtlingseigenschaft verneint und das Asylgesuch abgelehnt. Der Beschwerdeantrag 2 ist daher abzuweisen.</w:t>
      </w:r>
    </w:p>
    <w:p>
      <w:r>
        <w:t>E-1706/2024 Seite 10</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rPr>
          <w:b/>
        </w:rPr>
        <w:t>E. 10.2.1</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E-1706/2024 Seite 11 Da es dem Beschwerdeführer nicht gelungen ist, eine asylrechtlich erheb- liche Gefährdung nachzuweisen oder glaubhaft zu machen, kann der in Art. 5 AsylG verankerte Grundsatz der Nichtrückschiebung im vorliegen- den Verfahren keine Anwendung finden. Es bestehen auch keine Anhalts- punkte dafür, dass der Beschwerdeführer für den Fall einer Ausschaffung in den Heimatstaat dort mit beachtlicher Wahrscheinlichkeit einer nach Art. 3 EMRK oder Art. 1 FoK verbotenen Strafe oder Behandlung ausge- setzt wäre. Gemäss ständiger Praxis müsste der Beschwerdeführer eine konkrete Gefahr («real risk») nachweisen oder glaubhaft machen, dass ihm im Fall einer Rückschiebung Folter oder unmenschliche Behandlung dro- hen würde; dies ist ihm nach dem oben Gesagten nicht gelungen. Auch die allgemeine Menschenrechtssituation in Guinea lässt den Wegweisungs- vollzug nicht als generell unzulässig erscheinen.</w:t>
      </w:r>
    </w:p>
    <w:p>
      <w:r>
        <w:rPr>
          <w:b/>
        </w:rPr>
        <w:t>E. 10.2.2</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In Guinea herrscht zurzeit weder Krieg oder Bürgerkrieg noch eine Situation allgemeiner Gewalt. Der Vollzug der Wegweisung ist daher nicht als generell unzumutbar zu erachten (vgl. dazu die Urteile des BVGer E-1195/2024 vom 12. März 2024 E. 7.3.2, mit weiteren Verweisen auf D-6853/2023 vom 9. Januar 2024 E. 8.3.1, D-5083/2023 vom 27. Oktober 2023 E. 10.2 sowie E-4417/2023 vom 29. August 2023 E. 5.4.1 u.a.m.). Der Beschwerdeführer hat gemäss eigenen Angaben von Geburt bis zur Ausreise in der Gemeinde B._______ gelebt und ist bei seiner Mutter und seinen Geschwistern aufgewachsen. Er hat sich auch zeitweilig in der Lan- deshauptstadt aufgehalten (vgl. A17, Antworten 100 und 101). Er hat zwar nie eine herkömmliche Schule, jedoch sieben Jahre lang die Koranschule besucht (vgl. A17, Antworten 25 und 26). Seit seiner Ausreise soll zwar seine Mutter krankheitshalber gestorben sein. Der Beschwerdeführer hat aber eine Verlobte und zwei Kinder, die wieder in Guinea leben; seine Ver- lobte hat vor der Ausreise des Beschwerdeführers als Händlerin ihren</w:t>
      </w:r>
    </w:p>
    <w:p>
      <w:r>
        <w:t>E-1706/2024 Seite 12 Lebensunterhalt bestritten (vgl. Akte 17, Antworten 48 und 78). Der Be- schwerdeführer selbst hat bereits Berufserfahrung erworben und insbeson- dere auf Baustellen in seinem Stadtviertel, aber auch auf dem Markt gear- beitet (Akte 17, Antworten 29 und 59). Er verfügt im Heimatstaat somit über ein tragfähiges familiäres Netz und es ist davon auszugehen, dass er sich im Heimatstaat wieder eine wirtschaftliche und soziale Existenz wird auf- bauen können. Der Wegweisungsvollzug ist deshalb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weshalb Beschwerdeantrag 3 abzuweisen ist.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Der formelle Antrag, es sei auf die Erhebung eines Kostenvorschus- ses zu verzichten, erweist sich mit dem vorliegenden Urteil in der Sache als gegenstandslos.</w:t>
      </w:r>
    </w:p>
    <w:p>
      <w:r>
        <w:rPr>
          <w:b/>
        </w:rPr>
        <w:t>E. 12.2</w:t>
      </w:r>
    </w:p>
    <w:p>
      <w:r>
        <w:t>Die Gesuche um Gewährung der unentgeltlichen Prozessführung und Rechtsverbeiständung (vgl. Beschwerdeantrag 4) sind ungeachtet einer allfälligen prozessualen Bedürftigkeit des Beschwerdeführers abzuweisen, da sich die Beschwerdebegehren entsprechend den vorstehenden Erwä- gungen von vornherein als aussichtslos erwiesen haben.</w:t>
      </w:r>
    </w:p>
    <w:p>
      <w:r>
        <w:rPr>
          <w:b/>
        </w:rPr>
        <w:t>E. 12.3</w:t>
      </w:r>
    </w:p>
    <w:p>
      <w:r>
        <w:t>Demzufolge sind die Verfahrenskosten in der Höhe von Fr. 750.– dem Beschwerdeführer aufzuerlegen (Art. 63 Abs. 1 VwVG; Art. 1–3 des Reg- lements vom 21. Februar 2008 über die Kosten und Entschädigungen vor dem Bundesverwaltungsgericht [VGKE, SR 173.320.2]).</w:t>
      </w:r>
    </w:p>
    <w:p>
      <w:r>
        <w:t>E-1706/2024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