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E-1705/2016 vom 6. April 2016</w:t>
      </w:r>
    </w:p>
    <w:p>
      <w:r>
        <w:t>Bundesverwaltungsgericht, 2016-04-06, DE</w:t>
      </w:r>
    </w:p>
    <w:p>
      <w:r>
        <w:rPr>
          <w:b/>
        </w:rPr>
        <w:t xml:space="preserve">Quelle: </w:t>
      </w:r>
      <w:r>
        <w:t>https://mcp.opencaselaw.ch/entscheid/bvger_E-1705_2016</w:t>
      </w:r>
    </w:p>
    <w:p>
      <w:r>
        <w:t>FR: TAF E-1705/2016 du 6 avril 2016</w:t>
      </w:r>
    </w:p>
    <w:p>
      <w:r>
        <w:t>IT: TAF E-1705/2016 del 6 aprile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w:t>
      </w:r>
    </w:p>
    <w:p>
      <w:r>
        <w:t>Die Vorinstanz hat die fehlende Asylrelevanz und den Massstab des Glaubhaftmachens nicht verkannt und auf den vorliegenden Fall korrekt angewendet. Ihre Schlussfolgerungen sind weder in tatsächlicher noch in rechtlicher Hinsicht zu beanstanden. In der angefochtenen Verfügung wird einlässlich begründet, weshalb der Grossteil der Aussagen widersprüchlich und unglaubhaft ausgefallen ist. Die Rechtsmitteleingabe erschöpft sich in spärlichen Erklärungsversuchen, womit sie nicht aufzeigt, inwiefern die vorinstanzliche Beweiswürdigung Bundesrecht verletzen oder zu einer rechtsfehlerhaften Sachverhaltsfeststellung führen soll. Solches ist auch nicht ersichtlich. Der Beschwerdeführer macht geltend, von den eritreischen Behörden beschuldigt und ungefähr einen Monat inhaftiert und gefoltert worden zu sein, weil eine Gruppe von 15 Schülern verschwunden sei. Seine Antworten auf die entsprechenden Fragen fallen jedoch stereotyp aus und lassen offensichtlich nicht auf einen erlebten Sachverhalt schliessen (SEM-Akten, A21, S. 6 ff.). So kann der Beschwerdeführer - wie von der Vorinstanz richtig erkannt - die zentralen Elemente seiner Vorbringen (Verhaftung, Haft, Folter) nicht realitätsnah wiedergeben. Weil beispielsweise seine Antwort zur Festnahme dermassen oberflächlich ausfiel, wurden direkt im Anschluss acht weitere Fragen hierzu gestellt (SEM-Akten, A21, S. 8 f., F74-F82). Dennoch sagt er nur, der Rektor habe ihn gerufen und zwei Soldaten seien gekommen, die ihn gefesselt hätten. Sobald er mehr erzählen muss, häuft sich das Wort "einfach" (SEM-Akten, A21, S. 9, F80). Dies ist ein Indiz für Unsicherheit (SEM-Akten, A21, S. 8 f.). Sodann will der Beschwerdeführer einen Monat lang täglich gefoltert worden sein, weshalb die plötzliche Haftentlassung wegen der Prüfungen weit her geholt scheint (SEM-Akten, A21, S. 11 und angefochtene Verfügung S. 4). Fragen zur Folter weicht er zunächst aus und sagt dann, es sei alles im Dunkeln geschehen und es sei eine ihm unverständliche Sprache gesprochen worden (insb. SEM-Akten, A21, S. 10, F94). Ebenso wenig überzeugt der Erklärungsversuch zum Ausreiseentschluss, wenn doch zwischen seiner Entlassung (3. Juni) und seiner Ausreise (1. Juli) nichts mehr vorgefallen ist (SEM-Akten, A21, S. 13). Schliesslich bleiben die Fragen offen, weshalb er erst nach seiner Ausreise wieder gesucht wird und weshalb er seine Frau vor Ort in Gefahr hinterlässt. Die Vorinstanz - welche sich in der angefochtenen Verfügung mit all diesen und weiteren Elementen der Unglaubhaftigkeit befasst hat - kommt folgerichtig zum Schluss, dass die Antworten sehr konstruiert wirken und stereotyp, oberflächlich, nicht substantiiert sind, wobei das Gegenteil bei entsprechend starken Erlebnissen erwartet werden könne (angefochtene Verfügung S. 3 f.). Der Beschwerdeführer wendet hiergegen mit nur sechs Sätzen auf Beschwerdeebene ein, er habe zwar keine Beweise für seine Probleme. Die Ausführungen zur Verhaftung seien jedoch genau beschrieben worden; er habe sogar den Namen eines Soldaten nennen können (Beschwerde S. 5). Diese Einwände lassen keine andere Beurteilung zu und sind offensichtlich nicht geeignet, die Flüchtlingseigenschaft nachzuweisen oder glaubhaft zu machen. Die Beschwerde verkennt ferner, dass weder die Herkunft, das Jahr in Sawa oder die Tätigkeit als Lehrer von der Vorinstanz in Frage gestellt werden. Es kann somit auf die Übersetzung und Abnahme der Beweismittel (Nationalitätsausweis, Heiratsschein, Secondary School Student Report Card und Admission Card) verzichtet werden. Was die Ausreise aus Eritrea anbelangt, so zeichnet sich kein anderes Bild ab. Es ist zwar in Übereinstimmung mit den Beschwerdeausführungen und der Vorinstanz davon auszugehen, dass ein legales Verlassen des Landes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den drakonischen Massnahmen der sinkenden Wehrbereitschaft und der Massenfluchtbewegung in der Bevölkerung Herr zu werden (vgl. Urteil des BVGer E-5045/2009 vom 29. November 2012 E. 6.4.2 m.w.H.). Aufgrund der Akten stimmt das Gericht jedoch der Vorinstanz darin zu, dass die Vorbringen des Beschwerdeführers zu seiner angeblich illegalen Ausreise aus Eritrea unglaubhaft sind. Die Beweiswürdigung der Vorinstanz ist nicht zu beanstanden. So führt die Vorinstanz zutreffend aus, dass es unglaubhaft erscheint, wenn Ausreiseentschluss und Ausreise auf denselben Tag fallen (SEM-Akten, A21, S. 13, F119 und angefochtene Verfügung S. 5). Hierzu fragt sich auch, weshalb sein Cousin innerhalb kürzester Zeit den Entschluss fassen sollte, plötzlich auszureisen und die bekanntlich gefährliche Reise sofort - noch gegen 21 Uhr - auf sich nimmt. Die einzige Erklärung ist, dass der Beschwerdeführer diesen Cousin in seiner Erzählung benötigt, weil er so sein offensichtliches Nichtwissen der illegalen Ausreiseroute auf den Cousin schieben kann, der angeblich "ganz genau wusste", wie sie "die Grenze unbemerkt passieren können" (SEM-Akten, A21, S. 13). Ansonsten soll es Nacht gewesen sein, "sehr dunkel" (SEM-Akten, A21, S 13, insb. F124). Ferner sind die Antworten dermassen unpräzise, dass man anhand der Schilderungen des Beschwerdeführers nicht nachvollziehen kann, wie er die Grenze illegal von Eritrea nach Äthiopien passiert haben soll (SEM-Akten, A21, S. 13 f., so auch angefochtene Verfügung S. 5). Sodann will der Beschwerdeführer Zuflucht im Flüchtlingslager Adi Harish gesucht haben. Abklärungen der Schweizerischen Botschaft im Sudan haben ergeben, dass er dort nicht registriert ist. Der Beschwerdeführer stellt dem entgegen, es könne sein, dass sein Name falsch geschrieben worden sei (Beschwerde S. 4). Die Suchaktion wurde jedoch auch über den Namen des Vaters des Beschwerdeführers getätigt und dennoch wurde kein Eintrag gefunden (SEM-Akten, A27, S. 1). Anlässlich der Gewährung des rechtlichen Gehörs zur Botschaftsabklärung wurde festgehalten, der Beschwerdeführer habe seine Rationierungskarte von besagtem Flüchtlingslager auf der Flucht verloren, und es könne sein, dass er nicht registriert sei, weil er nur zwei Wochen dort gewesen sei (SEM-Akten, A29). Die Vorinstanz erkennt zu Recht den Wiederspruch zwischen dem Erhalt einer Rationierungskarte und der Nichtregistrierung (angefochtene Verfügung S. 5). Obwohl der Beschwerdeführer die wahren Umstände seiner Ausreise offensichtlich verheimlicht, lässt sich zwar noch nicht mit Bestimmtheit auf eine legale Ausreise schliessen. Aber sie kann auch nicht ausgeschlossen werden. Sich einzig auf die notorisch schwierige Ausreise im Dunkeln zu berufen, ohne die konkreten Ausreisegründe und -umstände plausibel darzutun, reicht nicht aus. Die Partei wird nämlich auch unter der oben dargelegten Rechtsprechung nicht davon entbunden, subjektive Nachfluchtgründe nachzuweisen oder zumindest glaubhaft zu machen. Die Beweis- und Substantiierungslast gilt von Gesetzes wegen und wird nicht etwa umgekehrt (Urteile des BVGer E-4799/2012 vom 21. Februar 2014 E. 6.3 und E-2511/2015 vom 17. Juni 2015 E. 5.6). Unter diesen Umständen - und aufgrund der offensichtlich unglaubhaften Vorbringen im erstinstanzlichen Verfahren und des Fehlens nachvollziehbarer Erklärungen auf Beschwerdeebene - ist festzustellen, dass der Beschwerdeführer auch das Vorliegen subjektiver Nachfluchtgründe nicht nachzuweisen oder zumindest glaubhaft zu machen vermag. Die Vorinstanz hat deshalb zu Recht das Asylgesuch abgelehnt und die Flüchtlingseigenschaft verneint.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nach Eritrea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In Eritrea herrscht keine Situation allgemeiner Gewalt. Bezüglich der persönlichen Situation ist vorauszusetzen, dass begünstigende individuelle Umstände (namentlich ein wirtschaftlich tragfähiges soziales und familiäres Netz oder andere die wirtschaftliche Integration ermöglichende Faktoren) vorliegen (Entscheidungen und Mitteilungen der Schweizerischen Asylrekurskommission [EMARK] 2005 Nr. 12 E. 10.5 - 10.8; in neuerer Rechtsprechung vgl. Urteile des BVGer E-6845/2013 vom 10. Januar 2014 E. 7.2, E-6816/2014 vom 9. Juni 2015 und E-5237/2015 vom 20. Oktober 2015 E. 7.2). In Bezug auf den Beschwerdeführer liegen begünstigende individuelle Umstände vor. So hat der Beschwerdeführer telefonischen Kontakt mit seinen Eltern (SEM-Akten, A21, S. 2), mithin kann - zusammen mit der Vorinstanz - von einem intakten familiären Beziehungsnetz ausgegangen werden. Im Übrigen lebt seine Frau vor Ort. In der Beschwerde wird ausgeführt, dass das Original des Nationalitätsausweises aus Eritrea geschickt worden sei (Beschwerde S. 4), was das Bild eines intakten Beziehungsnetzes untermauert. Ferner wird in der Beschwerde selbst ausgeführt, dass es sich beim Beschwerdeführer um einen gesunden und jungen Mann im Alter von 25 Jahren handle (Beschwerde S. 4 und S. 6). Die auf Beschwerdeebene eingereichten Dokumente belegen, dass er eritreischer Herkunft ist, dort verheiratet ist und die Schule besuchte. Sodann hat er Arbeitserfahrung als Lehrer. Der Vollzug der Wegweisung des Beschwerdeführers nach Eritrea ist somit als zumutbar zu erachten.</w:t>
      </w:r>
    </w:p>
    <w:p>
      <w:r>
        <w:rPr>
          <w:b/>
        </w:rPr>
        <w:t>E. 6.4</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6.5</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im Sinne von Art. 65 Abs. 2 VwVG nicht stattgegeben werden.</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