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E-1700/2018 vom 17. April 2018</w:t>
      </w:r>
    </w:p>
    <w:p>
      <w:r>
        <w:t>Bundesverwaltungsgericht, 2018-04-17, DE</w:t>
      </w:r>
    </w:p>
    <w:p>
      <w:r>
        <w:rPr>
          <w:b/>
        </w:rPr>
        <w:t xml:space="preserve">Quelle: </w:t>
      </w:r>
      <w:r>
        <w:t>https://mcp.opencaselaw.ch/entscheid/bvger_E-1700_2018</w:t>
      </w:r>
    </w:p>
    <w:p>
      <w:r>
        <w:t>FR: TAF E-1700/2018 du 17 avril 2018</w:t>
      </w:r>
    </w:p>
    <w:p>
      <w:r>
        <w:t>IT: TAF E-1700/2018 del 17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Keine Flüchtlinge sind Personen, die wegen Wehrdienstverweigerung oder Desertion ernsthaften Nachteilen ausgesetzt sind oder begründete Furcht haben, solchen Nachteilen ausgesetzt zu werden (Art. 3 Abs. 3 AsylG).</w:t>
      </w:r>
    </w:p>
    <w:p>
      <w:r>
        <w:rPr>
          <w:b/>
        </w:rPr>
        <w:t>E. 4</w:t>
      </w:r>
    </w:p>
    <w:p>
      <w:r>
        <w:t>Die Vorinstanz hat die fehlende Asylrelevanz nicht verkannt und auf den vorliegenden Fall korrekt angewendet. Ihre Schlussfolgerungen sind weder in tatsächlicher noch in rechtlicher Hinsicht zu beanstanden. Sie hat das Asylgesuch umfassend und sorgfältig geprüft. Die angefochtene Verfügung ist zutreffend und ausführlich begründet. Der Beschwerdeführer macht lediglich Nachteile aufgrund seiner Desertion geltend. Es ist der Vorinstanz darin beizupflichten, dass bei einer "Desertion" von den Peshmerga grundsätzlich keine asylrelevante Verfolgung zu befürchten ist (statt vieler Urteile des BVGer E-4167/2016 vom 9. April 2018, E-5197/2015 vom 23. August 2016, D-1114/2014 vom 29. Juli 2014, vgl. auch EJPD, Report on Joint Finnish-Swiss Fact-Finding Mission to Amman and the Kurdish Regional Government [KRG] Area, May 10-22, 2011, S. 27; Office français de protection des réfugiés et apatrides [OFPRA], Irak, Les peshmergas, Gardes régionaux de la Région du Kurdistan d'Irak, 29. Juli 2016, S. 11). Weder aufgrund der Protokolle noch der Beschwerdeausführungen ist davon auszugehen, dass es sich beim Beschwerdeführer um einen Peshmerga höheren Ranges handelt. Der Beschwerdeführer sagte in beiden Befragungen aus, es sei nicht nach ihm gesucht worden und in der Anhörung bestätigte er, seit seiner Ausreise habe niemand von seiner Familie Probleme mit den Behörden gehabt oder sei von diesen kontaktiert worden (z. B. SEM-Akten, A4, S. 8, Ziff. 7.01 und A25, S. 7, F54 und S. 15, F122). Ferner gelang es dem Beschwerdeführer nach seiner Desertion das Land legal zu verlassen. Seine diesbezüglichen Erklärungen sind widersprüchlich und gehen ins Leere (z. B. SEM-Akten, A25, S. 14, F116 f.). Die Rechtsmitteleingabe erschöpft sich in pauschaler Kritik. Die Rüge, die "virtuelle Praxis des SEM" führe zu "falschen Einschätzungen und falschen Entscheiden" ist ebenso unbegründet wie die Rüge, die "Vorstellung des SEM" sei "total falsch" (Beschwerde, S. 2 und S. 5). Auch sind den Befragungsprotokollen keine Übersetzungsprobleme zu entnehmen. Der Beschwerdeführer hat mehrmals mündlich bestätigt, den Dolmetscher gut verstanden zu haben, was er im Anschluss an die Rückübersetzung der Befragungsprotokolle jeweils schriftlich bestätigte (SEM-Akten, A4, S. 2, Bst. h, S. 10, Ziff. 9.02 und A25, S. 1, F1). Der eingereichte Zeitungsartikel ("Die grosse Macht der Asyl-Dolmetscher") ändert hieran nichts. Die Beschwerde zeigt mithin nicht auf, inwiefern die vorinstanzliche Beweiswürdigung Bundesrecht verletzen oder zu einer rechtsfehlerhaften Sachverhaltsfeststellung führen soll. Solches ist auch nicht ersichtlich. Was die erst auf Beschwerdeebene eingereichte Kopie eines angeblichen Haftbefehls vom (...) anbelangt, so hatte der Beschwerdeführer seit Einreichung seines Asylgesuchs (2. September 2015) genügend Zeit, diesen einzureichen. Hinzu kommt, dass entsprechende Dokumente (insbesondere in Kopie) leicht fälschbar und käuflich erwerbbar sind. Dies kann indes vorliegend dahingestellt bleiben, zumal das Dokument - ob echt oder nicht - nichts am Beweisergebnis zu ändern vermag. So hält es lediglich fest, der Beschwerdeführer sei zu verhaften, weil er desertiert sei, was er auch angibt. Die Flucht vor einer rechtsstaatlich legitimen Strafverfolgung im Heimatland bildet grundsätzlich keinen Grund für die Anerkennung der Flüchtlingseigenschaft und für die Asylgewährung. Dies gilt auch für die staatliche Ahndung von militärstrafrechtlichen Delikten (vgl. BVGE 2015/3).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 Entsprechendes ist nicht aktenkundig. Um Wiederholungen zu vermeiden, kann auf die zutreffenden Erwägungen der Vorinstanz verwiesen werden,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könnten. Die Gewalt konzentriere sich jedoch auf den Zentral- und Südirak. Trotz grosser Flüchtlingswelle in die Autonome Region Kurdistan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(angefochtene Verfügung, S. 7 f.). Im Urteil E-3737/2015 vom 14. Dezember 2015 (als Referenzurteil publiziert) stellte das Bundesverwaltungsgericht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An dieser Sichtweise wird weiterhin festgehalten (vgl. Urteile des BVGer E-6954/2017 vom 17. Januar 2018, E-4210/2017 vom 23. August 2017, E-6267/2016 vom 2. November 2016). In Übereinstimmung mit den vorinstanzlichen Erwägungen ist vorliegend von der Zumutbarkeit des Wegweisungsvollzugs auszugehen. So stammt der gesunde Beschwerdeführer aus B._______, wo er seit seiner Geburt lebte und wo er über ein grosses familiäres Beziehungsnetz verfügt, welches sich bereits gegenseitig finanziell unterstützt (SEM-Akten, A25, S. 7, F50 f., insb. F53). Mit seinen in B._______ lebenden Angehörigen steht er in Kontakt (SEM-Akten, A25, S. 7, F50 f.). Überdies verfügt er über Schulbildung und ein breites Spektrum an Berufserfahrung vor Ort, von der er bereits finanziell profitieren konnte (SEM-Akten, A25, S. 6 f., F44 ff. und F49). Auf Beschwerdeebene wird dem nichts Stichhaltiges entgegengestellt. Der Vollzug der Wegweisung ist zumutbar.</w:t>
      </w:r>
    </w:p>
    <w:p>
      <w:r>
        <w:rPr>
          <w:b/>
        </w:rPr>
        <w:t>E. 6.4</w:t>
      </w:r>
    </w:p>
    <w:p>
      <w:r>
        <w:t>Nach Art. 83 Abs. 2 AuG ist der Vollzug auch als möglich zu bezeichnen, weil es - sofern notwendig -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