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E-1698/2021 vom 6. Juli 2022</w:t>
      </w:r>
    </w:p>
    <w:p>
      <w:r>
        <w:t>Bundesverwaltungsgericht, 2022-07-06, DE</w:t>
      </w:r>
    </w:p>
    <w:p>
      <w:r>
        <w:rPr>
          <w:b/>
        </w:rPr>
        <w:t xml:space="preserve">Quelle: </w:t>
      </w:r>
      <w:r>
        <w:t>https://mcp.opencaselaw.ch/entscheid/bvger_E-1698_2021</w:t>
      </w:r>
    </w:p>
    <w:p>
      <w:r>
        <w:t>FR: TAF E-1698/2021 du 6 juillet 2022</w:t>
      </w:r>
    </w:p>
    <w:p>
      <w:r>
        <w:t>IT: TAF E-1698/2021 del 6 luglio 2022</w:t>
      </w:r>
    </w:p>
    <w:p>
      <w:pPr>
        <w:pStyle w:val="Heading2"/>
      </w:pPr>
      <w:r>
        <w:t>Regeste</w:t>
      </w:r>
    </w:p>
    <w:p>
      <w:r>
        <w:t>Asylwiderruf</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6 AsylG und Art. 52 Abs. 1 VwVG).</w:t>
      </w:r>
    </w:p>
    <w:p>
      <w:r>
        <w:rPr>
          <w:b/>
        </w:rPr>
        <w:t>E. 2</w:t>
      </w:r>
    </w:p>
    <w:p>
      <w:r>
        <w:t>Verfahrensgegenstand bildet vorliegend die Frage, ob das dem Beschwer- deführer gewährte Asyl inzwischen erloschen ist (Art. 64 Abs. 1 Bst. a AsylG). Die Flüchtlingseigenschaft wird durch das Erlöschen des Asyls nicht tangiert (CESLA AMARELLE, in: Code annoté de droit des migrations, vol. IV: Loi sur l'asile, 2015, Art. 64 S. 469).</w:t>
      </w:r>
    </w:p>
    <w:p>
      <w:r>
        <w:t>E-1698/2021 Seite 4</w:t>
      </w:r>
    </w:p>
    <w:p>
      <w:r>
        <w:rPr>
          <w:b/>
        </w:rPr>
        <w:t>E. 3</w:t>
      </w:r>
    </w:p>
    <w:p>
      <w:r>
        <w:t>In der angefochtenen Verfügung führt die Vorinstanz aus, gemäss ZEMIS sei der Beschwerdeführer seit dem 31. August 2019 als ausgereist erfasst. Mit E-Mail vom 9. November 2020 habe er der Schweizerischen Vertretung in K._______ mitgeteilt, er habe die Schweiz am 2. September 2019 ver- lassen und sei später illegal in die B._______ eingereist, nachdem er durch verschiedene (…)- und (…) Länder gereist sei. In den B._______ habe er rund (...) Monate in Haft verbracht. Weiter führe er aus, er würde seine in der Schweiz lebende Familie vermissen und wolle in die Schweiz zurück- kehren, weshalb er die Schweizerische Vertretung in K._______ um Hilfe gebeten habe. Die Vorinstanz kommt zum Schluss, den Akten sei zu ent- nehmen, dass der Beschwerdeführer sich seit seiner Auseise aus der Schweiz während mehr als einem Jahr im Ausland aufgehalten habe, wes- halb das in der Schweiz gewährte Asyl gestützt auf Art. 64 Abs. 1 Bst. a AsylG erloschen sei. Die Vorinstanz hält weiter fest, dass trotz Erlöschens des Asyls in der Schweiz die anerkannte Flüchtlingseigenschaft bestehen bleibe.</w:t>
      </w:r>
    </w:p>
    <w:p>
      <w:r>
        <w:rPr>
          <w:b/>
        </w:rPr>
        <w:t>E. 4</w:t>
      </w:r>
    </w:p>
    <w:p>
      <w:r>
        <w:t>In der Rechtsmitteleingabe macht der Beschwerdeführer im Wesentlichen geltend, er habe die Schweiz und die dort lebenden Angehörigen in einem Zustand grossen Stresses verlassen, aus Furcht davor, was allenfalls pas- sieren könnte ("um die gefährlichen Sequenzen zu vermeiden, die passie- ren würden", vgl. Beschwerdeschrift [act. 1]). Er habe seinen Reisepass sowie weitere Dokumente in D._______ verloren, sei dort von den Behör- den aufgegriffen und dann Schleppern ("Menschenhandelsgruppe") über- geben worden, welche ihn nach E._______ gebracht hätten. Von dort sei er von einem Land zum anderen bis nach J._______ gebracht worden, wo man ihn zirka einen Monat gefangen gehalten habe. Am 1. Januar 2020 sei er in den B._______ angekommen, wo er rund (…) Monate inhaftiert worden sei. Während des Haftaufenthaltes habe er den Wunsch verspürt, seine Familie zu treffen, habe jedoch keine Gelegenheit gehabt, mit Ver- tretern der Schweizer Behörden in Kontakt zu treten. Ebenfalls sei er in dieser Zeit an (…) erkrankt. Kurz nach seiner Freilassung habe er die Schweizer Botschaft kontaktiert. In der dem Gericht am 2. Juni 2021 zugestellten Eingabe führt der Be- schwerdeführer sodann im Wesentlichen aus, er habe in der Schweiz Prob- leme mit der (…) Regierung nahestehenden Personen bekommen. Dies habe ihn geistig belastet ("Diese Unterstützer und Diener missbrauchten</w:t>
      </w:r>
    </w:p>
    <w:p>
      <w:r>
        <w:t>E-1698/2021 Seite 5 mich immer geistig, wenn ich sie traf") und er sei sich marginalisiert vorge- kommen. Diese Personen hätten seine Frau manipuliert, worunter ihre Be- ziehung stark gelitten habe. Er habe sich auch nicht mehr auf seine Aus- bildungen konzentrieren können. Mit seinen Problemen habe er sich an seinen Arbeitschef sowie seinen Sozialbetreuer gewandt, welche ihn je- doch nicht verstanden, sondern Drohungen ausgesprochen hätten. Er habe deshalb begonnen alles zu hassen, was viel Stress verursacht habe. Deshalb habe er seine Angehörigen, namentlich seine geliebte Tochter, verlassen müssen.</w:t>
      </w:r>
    </w:p>
    <w:p>
      <w:r>
        <w:rPr>
          <w:b/>
        </w:rPr>
        <w:t>E. 5.1</w:t>
      </w:r>
    </w:p>
    <w:p>
      <w:r>
        <w:t>Gemäss Art. 64 Abs. 1 Bst. a AsylG erlischt das in der Schweiz ge- währte Asyl, wenn sich Flüchtlinge während mehr als einem Jahr im Aus- land aufgehalten haben. Das SEM kann diese Frist verlängern, wenn be- sondere Umstände vorliegen (Art. 64 Abs. 2 AsylG).</w:t>
      </w:r>
    </w:p>
    <w:p>
      <w:r>
        <w:rPr>
          <w:b/>
        </w:rPr>
        <w:t>E. 5.2</w:t>
      </w:r>
    </w:p>
    <w:p>
      <w:r>
        <w:t>Gemäss Art. 29 VwVG haben die Parteien Anspruch auf rechtliches Gehör. 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144 I 11 E. 5.3; BVGE 2009/35 E. 6.4.1 m.w.H.). Mit dem Gehörsanspruch korreliert die Pflicht der Behörden, die wesentli- chen Vorbringen tatsächlich zu hören, ernsthaft zu prüfen und in ihrer Ent- scheidfindung angemessen zu berücksichtigen. Das gilt für alle form- und fristgerechten Äusserungen, Eingaben und Anträge, die zur Klärung der konkreten Streitfrage geeignet und erforderlich erscheinen. Die Begrün- dung muss so abgefasst sein, dass der Betroffene den Entscheid gegebe- nenfalls sachgerecht anfechten kann. Sie muss kurz die wesentlichen Überlegungen nennen, von denen sich die Behörde hat leiten lassen und auf die sie ihren Entscheid stützt. Nicht erforderlich ist, dass sich die Be- gründung mit allen Parteistandpunkten einlässlich auseinandersetzt und</w:t>
      </w:r>
    </w:p>
    <w:p>
      <w:r>
        <w:t>E-1698/2021 Seite 6 jedes einzelne Vorbringen ausdrücklich widerlegt (vgl. BGE 143 III 65 E. 5.2).</w:t>
      </w:r>
    </w:p>
    <w:p>
      <w:r>
        <w:rPr>
          <w:b/>
        </w:rPr>
        <w:t>E. 5.3</w:t>
      </w:r>
    </w:p>
    <w:p>
      <w:r>
        <w:t>Es ist vorliegend unbestritten, dass sich der Beschwerdeführer nach Erhalt des Asylstatus länger als ein Jahr im Ausland aufgehalten hat. Wie bereits dargelegt, führt dies grundsätzlich zum Erlöschen des Asyls (Art. 64 Abs. 1 Bst. a AsylG). Es liegt indes im Ermessen der Vorinstanz, bei be- sonderen Umständen trotz Ablauf der Einjahresfrist von der Feststellung des Erlöschens abzusehen beziehungsweise kann sie "die Frist […] ver- längern" (Art. 64 Abs. 2 AsylG).</w:t>
      </w:r>
    </w:p>
    <w:p>
      <w:r>
        <w:rPr>
          <w:b/>
        </w:rPr>
        <w:t>E. 6</w:t>
      </w:r>
    </w:p>
    <w:p>
      <w:r>
        <w:t>Der Beschwerdeführer hat (auch bereits im erstinstanzlichen Verfahren) zahlreiche Dokumente eingereicht, aus welchen prima vista zuverlässig hervorzugehen scheint, dass er während seines Auslandaufenthalts mehrere Monate in Haft verbrachte. Das Gericht gelangt zur Auffassung, dass dieser Tatbestand – unter Einbezug der weiteren wesentlichen Gegebenheiten des konkreten Falles – einen besonderen Umstand darstellen könnte (vgl. diesbezüglich bereits Urteil des BVGer E-3799/2021 vom 23. November 2021 E. 4.6 f.). Dem angefochtenen Ent- scheid kann jedoch nicht entnommen werden, ob die Vorinstanz dem Be- schwerdeführer in Bezug auf die Haftaufenthalte überhaupt Glauben schenkte und falls ja, inwiefern dies im Entscheid berücksichtigt wurde. Die Vorinstanz verfügt bei der Anwendung von Art. 64 Abs. 2 AsylG gemäss Wortlaut ("kann die Frist […] verlängern") über Ermessen. Die Beschwer- deinstanz kann solche Entscheide immerhin auf das Vorliegen qualifizierter Ermessensfehler überprüfen (Ermessensmissbrauch, Ermessensüber- schreitung und Ermessensunterschreitung; vgl. dazu HÄFELIN/MÜL- LER/UHLMANN, Allgemeines Verwaltungsrecht, 8. Aufl. 2020, Rz. 396 ff.). Insofern hätte sich auch unter diesem Aspekt aufgedrängt, im angefochte- nen Entscheid darzulegen, von welchen Überlegungen sich die Vorinstanz im Zusammenhang mit den vorgebrachten Haftaufenthalten hat leiten las- sen.</w:t>
      </w:r>
    </w:p>
    <w:p>
      <w:r>
        <w:rPr>
          <w:b/>
        </w:rPr>
        <w:t>E. 7</w:t>
      </w:r>
    </w:p>
    <w:p>
      <w:r>
        <w:t>Nach dem Gesagten ist festzuhalten, dass die Begründung der Vorinstanz den aus dem Anspruch auf rechtliches Gehör fliessenden Anforderungen nicht zu genügen vermag. Unter anderem setzt sie sich mit entscheidwe- sentlichen Umständen nicht beziehungsweise ungenügend auseinander. Somit ist die Sache zur vollständigen und rechtsgenüglichen Entscheidbe- gründung an die Vorinstanz zurückzuweisen. Es ist darauf hinzuweisen,</w:t>
      </w:r>
    </w:p>
    <w:p>
      <w:r>
        <w:t>E-1698/2021 Seite 7 dass durch den vorliegenden Entscheid bezüglich der Frage des Vorlie- gens besonderer Umstände (im erwähnten Sinne) nicht vorgegriffen wird.</w:t>
      </w:r>
    </w:p>
    <w:p>
      <w:r>
        <w:rPr>
          <w:b/>
        </w:rPr>
        <w:t>E. 8</w:t>
      </w:r>
    </w:p>
    <w:p>
      <w:r>
        <w:t>Aufgrund des Ausgeführten ist die Beschwerde gutzuheissen, die ange- fochtene Verfügung aufzuheben und die Sache zur neuen Entscheidung an die Vorinstanz zurückzuweisen.</w:t>
      </w:r>
    </w:p>
    <w:p>
      <w:r>
        <w:rPr>
          <w:b/>
        </w:rPr>
        <w:t>E. 9.1</w:t>
      </w:r>
    </w:p>
    <w:p>
      <w:r>
        <w:t>Bei diesem Ausgang des Verfahrens sind keine Kosten zu auferlegen (Art. 63 Abs. 1 und 2 VwVG).</w:t>
      </w:r>
    </w:p>
    <w:p>
      <w:r>
        <w:rPr>
          <w:b/>
        </w:rPr>
        <w:t>E. 9.2</w:t>
      </w:r>
    </w:p>
    <w:p>
      <w:r>
        <w:t>Die Beschwerdeinstanz kann der ganz oder teilweise obsiegenden Partei von Amtes wegen oder auf Begehren eine Entschädigung für ihr er- wachsene notwendige und verhältnismässig hohe Kosten zusprechen (Art. 64 Abs. 1 VwVG sowie Art. 7 des Reglements vom 21. Februar 2008 über die Kosten und Entschädigungen vor dem Bundesverwaltungsgericht [VGKE, SR 173.320.2]). Der Beschwerdeführer war im Beschwerdeverfah- ren nicht vertreten, weshalb davon auszugehen ist, dass ihm keine verhält- nismässig hohen Kosten entstanden sind. Es ist deshalb keine Entschädi- gung zuzusprechen.</w:t>
      </w:r>
    </w:p>
    <w:p>
      <w:r>
        <w:t>(Dispositiv nächste Seite)</w:t>
      </w:r>
    </w:p>
    <w:p>
      <w:r>
        <w:t>E-1698/2021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