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E-1697/2018 vom 19. Juni 2018</w:t>
      </w:r>
    </w:p>
    <w:p>
      <w:r>
        <w:t>Bundesverwaltungsgericht, 2018-06-19, DE</w:t>
      </w:r>
    </w:p>
    <w:p>
      <w:r>
        <w:rPr>
          <w:b/>
        </w:rPr>
        <w:t xml:space="preserve">Quelle: </w:t>
      </w:r>
      <w:r>
        <w:t>https://mcp.opencaselaw.ch/entscheid/bvger_E-1697_2018</w:t>
      </w:r>
    </w:p>
    <w:p>
      <w:r>
        <w:t>FR: TAF E-1697/2018 du 19 juin 2018</w:t>
      </w:r>
    </w:p>
    <w:p>
      <w:r>
        <w:t>IT: TAF E-1697/2018 del 19 giugno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Beschwerdeschrift vom 19. März 2018 wurde angeführt, dass die Beschwerdeführerin wegen eigenen politischen Aktivitäten seit Jahren unter Druck gesetzt worden sei. Ausserdem habe man sie - weil der Verdacht, sie habe mit dem Anschluss ihrer Freundinnen an die Guerilla etwas zu tun, sich nach den Verhören erhärtet habe - ständig bis zu ihrer Ausreise beschattet. Von daher gesehen sei die Erwägung, es bestehe kein Kausalzusammenhang zwischen den Ereignissen und der Ausreise, von der Hand zu weisen. Ausserdem müsse vorliegend von einer Reflexverfolgung ausgegangen werden, was jedoch von der Vorinstanz in keiner Weise geprüft worden sei. Des Weiteren seien die andauernden Bedrohungen der Familien der Freundinnen als intensiv genug zu qualifizieren. Die Möglichkeit, polizeilichen Schutz zu suchen, habe nicht bestanden, weil die Beschwerdeführerin selber im Fokus der Behörden gestanden habe. Schliesslich sei auf die traurige Tatsache hinzuweisen, dass in der Heimat der Beschwerdeführerin jährlich Hunderte wenn nicht sogar Tausende von Frauen zwangsverheiratet würden. Die Beschwerdeführerin sei diesem Schicksal nur entkommen, weil sie vorzeitig geflüchtet sei.</w:t>
      </w:r>
    </w:p>
    <w:p>
      <w:r>
        <w:rPr>
          <w:b/>
        </w:rPr>
        <w:t>E. 5.2</w:t>
      </w:r>
    </w:p>
    <w:p>
      <w:r>
        <w:t>Die vorinstanzliche Begründung der Verfügung vom 14. Februar 2018 sowie der Vernehmlassung vom 30. April 2018 ist nicht zu beanstanden. Bezüglich einer Verfolgungsmassnahme gilt festzuhalten, dass Angriffe auf die in Art. 3 Abs. 2 AsylG genannten Rechtsgüter dann asylrelevant sind, wenn sie eine bestimmte Intensität aufweisen. So muss beispielsweise zur Gefährdung des Lebens eine direkte und ernsthafte Todesgefahr vorliegen. Eine Gefährdung des Leibes erreicht die geforderte Intensität dann, wenn dem Betroffenen ernsthafte Verletzungen (physischer oder psychischer Natur) zugefügt worden sind oder er diese zu befürchten hat. Leichtere Eingriffe erreichen die nötige Intensität nicht. Bei der Beurteilung, ob die erlittenen Eingriffe intensiv genug sind, ist mitzuberücksichtigen, dass mehrere Eingriffe in die in Art. 3 AsylG genannten Rechtsgüter, die zwar für sich allein die nötige Intensität nicht erreichen, insgesamt gesehen das Mass des Erträglichen überschreiten können. Mehrere Eingriffe im obgenannten Sinne, die nicht intensiv genug sind, können zu einem unerträglichen psychischen Druck führen, der für die betroffene Person ein weiteres Verbleiben im Heimatland verunmöglicht. Dabei ist zu beachten, dass der von der asylsuchenden Person geltend gemachte psychische Druck objektiv gesehen nachvollziehbar sein muss (vgl. Urteil des BVGer D-6214/2014 vom 2. Februar 2017 E. 4.1.1).</w:t>
      </w:r>
    </w:p>
    <w:p>
      <w:r>
        <w:rPr>
          <w:b/>
        </w:rPr>
        <w:t>E. 5.2.1</w:t>
      </w:r>
    </w:p>
    <w:p>
      <w:r>
        <w:t>Die Vorbringen der Beschwerdeführerin, sie sei im Jahre 2013 (bzw. 2014; A18 F66 ff.) zweimal von der Polizei festgehalten und für (...) Stunden verhört worden, weil zwei ihrer Freundinnen sich einer Guerilla-Gruppe angeschlossen hätten (A6 S. 8; A14 F33 ff.), sind einerseits als nicht genügend intensiv zu werten. Polizeiliche Verhöre sind aus rechtsstaatlicher Sicht als legitim zu betrachten, wenn sie gewisse Verfahrensgarantien und menschenrechtliche Aspekte einhalten. Aus den Akten ist ersichtlich, dass die Beschwerdeführerin während den Verhören lediglich befragt worden sei und ihr Fotos gezeigt worden seien (A14 F35). Die Behauptung, dass sie nach den Verhören verdächtigt worden sei, in die Sache ihrer Freundinnen verwickelt gewesen zu sein, findet in den Protokollen keine Stütze. In einem solchen Fall wäre die Beschwerdeführerin wohl weiter verhört worden. Anderseits ist der zeitliche (und sachliche) Kausalzusammenhang zwischen den Verhören und der Ausreise im (...) 2015 nicht gegeben. Zwar lässt sich allgemein keine starre zeitliche Grenze festlegen, ab wann der Kausalzusammenhang als unterbrochen zu gelten hat. In der Praxis wird jedoch davon ausgegangen, dass der zeitliche Kausalzusammenhang bei einer Zeitspanne von sechs bis zwölf Monaten als zerrissen gilt (vgl. BVGE 2009/51 E. 4.2.5 m.w.H.). Beim sachlichen Zusammenhang geht es um die Frage, ob die Umstände, die zur Vorverfolgung geführt haben, im Zeitpunkt der Flucht noch bestanden haben (vgl. Nula Frei, in: Handbuch zum Asyl- und Wegweisungsverfahren, Hrsg. Schweizerische Flüchtlingshilfe [SFH], 2. Aufl. 2015, S. 203). Zieht man in Betracht, dass die Beschwerdeführerin seit Juni 2013 einzig von Polizisten beschattet wurde (A18 F30 und 35; vgl. nachfolgend E. 5.2.2), wogegen der Bruder im (...) 2015 zuhause verhaftet worden sei (A6 S. 8), ist - wie das SEM zu Recht erkannt hat - kein Kausalzusammenhang zwischen den Verhören und der Ausreise zu erkennen (Art. 3 AsylG).</w:t>
      </w:r>
    </w:p>
    <w:p>
      <w:r>
        <w:rPr>
          <w:b/>
        </w:rPr>
        <w:t>E. 5.2.2</w:t>
      </w:r>
    </w:p>
    <w:p>
      <w:r>
        <w:t>Weiter brachte die Beschwerdeführerin vor, sie sei ständig von staatlicher Seite beobachtet, beschattet und behelligt worden (A14 F28; A18 F30 ff.). Polizisten hätten sich hinter der Ecke (ihres Hauses) versteckt und gewartet. Ausserdem hätten sie sich im Schulhaus blicken lassen (A14 F39 f.; A18 F32) und die Beschwerdeführerin habe telefonische Drohanrufe erhalten (A14 F28). Die Gründe dafür sind in den Protokollen nicht genau zu eruieren, mutmasslich liegen sie in den politischen Aktivitäten der Familie (A6 S. 8) und dem eigenen politischen Interesse der Beschwerdeführerin (A14 F28: "Ab diesem Zeitpunkt wurde der türkische Staat auf mich aufmerksam"; A18 F33). Auch wenn eine gewisse Zermürbung der Beschwerdeführerin in Form von Hyperventilierung zu erkennen ist (A18 F54 und 69), erreichen diese Eingriffe - auch wenn sie im Zusammenhang mit den Verhören des Jahres 2013 betrachtet werden - die notwendige Intensität nicht (Art. 3 AsylG).</w:t>
      </w:r>
    </w:p>
    <w:p>
      <w:r>
        <w:rPr>
          <w:b/>
        </w:rPr>
        <w:t>E. 5.2.3</w:t>
      </w:r>
    </w:p>
    <w:p>
      <w:r>
        <w:t>Auch die Drohung einer allfälligen Zwangsheirat (A14 F28 und 44 ff.; A18 F83 ff.) ist als nicht intensiv genug zu werten. Den Protokollen ist kein weiterer Nachteil zu entnehmen, der als ernsthaft im Sinne von Art. 3 Abs. 2 AsylG erscheint.</w:t>
      </w:r>
    </w:p>
    <w:p>
      <w:r>
        <w:rPr>
          <w:b/>
        </w:rPr>
        <w:t>E. 5.3</w:t>
      </w:r>
    </w:p>
    <w:p>
      <w:r>
        <w:t>Ferner sind die angeblichen Behelligungen durch die Familie ihrer Freundinnen nicht wegen der Rasse, Religion, Nationalität, Zugehörigkeit zu einer bestimmten sozialen Gruppe oder wegen den politischen Anschauungen der Beschwerdeführerin, mithin wegen eines asylrelevanten Motivs nach Art. 3 AsylG, geschehen, sondern weil die Beschwerdeführerin eine Freundin der abtrünnigen Frauen war. Demzufolge ist auch dieses Vorbringen nicht asylrelevant (Art. 3 AsylG).</w:t>
      </w:r>
    </w:p>
    <w:p>
      <w:r>
        <w:rPr>
          <w:b/>
        </w:rPr>
        <w:t>E. 5.4</w:t>
      </w:r>
    </w:p>
    <w:p>
      <w:r>
        <w:t>Schliesslich ist auf die vorgebrachte Reflexverfolgung einzugehen. Unter Reflexverfolgung sind behördliche Belästigungen und Behelligungen von Angehörigen - vorliegend die Beschwerdeführerin -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erlagen beziehungsweise Geständnisse von Inhaftierten zu erzwingen. Den Akten zufolge wurde die Beschwerdeführerin auch aufgrund der politischen Aktivitäten der Familie behelligt (A6 S. 8; A14 F28). Der Vater der Beschwerdeführerin - ein Mitglied der HDP respektive BDP, welcher mehrmals verurteilt wurde (N [...], A33) - reiste im Jahr 2011 aus der Türkei aus und reichte in der Schweiz ein Asylgesuch ein, welches gutgeheissen wurde. Um sich seiner habhaft zu werden, könnte die Beschwerdeführerin durch die Polizei beschattet worden sein, jedoch ist nicht nachvollziehbar, weshalb dies erst im Sommer 2013 - also knapp zwei Jahre nach der Ausreise des Vaters - begonnen hätte. Da - wie bereits in E. 5.2.2 festgestellt wurde - die Beschattungen als nicht genügend intensiv zu qualifizieren sind, reichen diese als ernsthafte Nachteile bezüglich einer Reflexverfolgung ebenfalls nicht aus. Ferner gab die Beschwerdeführerin nie an, wegen ihres Bruders, welcher am (...) 2015 (A15), also kurz vor ihrer Ausreise, inhaftiert wurde (N [...], A5 S. 8 ff.), von staatlicher Seite behelligt worden zu sein, weshalb auch diesbezüglich keine Reflexverfolgung der Beschwerdeführerin zu erkennen ist (Art. 3 AsylG).</w:t>
      </w:r>
    </w:p>
    <w:p>
      <w:r>
        <w:rPr>
          <w:b/>
        </w:rPr>
        <w:t>E. 5.5</w:t>
      </w:r>
    </w:p>
    <w:p>
      <w:r>
        <w:t>Zusammenfassend ergibt sich, dass die Beschwerdeführerin keine asylrelevante Verfolgung nachzuweisen vermochte. Die Vorinstanz hat daher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und 2009/50 E. 9, je m.w.H.).</w:t>
      </w:r>
    </w:p>
    <w:p>
      <w:r>
        <w:rPr>
          <w:b/>
        </w:rPr>
        <w:t>E. 6.2</w:t>
      </w:r>
    </w:p>
    <w:p>
      <w:r>
        <w:t>Da das SEM in der angefochtenen Verfügung die vorläufige Aufnahme der Beschwerdeführerin in der Schweiz angeordnet hat, erübrigen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Sie sind mit dem am 11. April 2018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