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E-1695/2014 vom 14. Mai 2014</w:t>
      </w:r>
    </w:p>
    <w:p>
      <w:r>
        <w:t>Bundesverwaltungsgericht, 2014-05-14, DE</w:t>
      </w:r>
    </w:p>
    <w:p>
      <w:r>
        <w:rPr>
          <w:b/>
        </w:rPr>
        <w:t xml:space="preserve">Quelle: </w:t>
      </w:r>
      <w:r>
        <w:t>https://mcp.opencaselaw.ch/entscheid/bvger_E-1695_2014</w:t>
      </w:r>
    </w:p>
    <w:p>
      <w:r>
        <w:t>FR: TAF E-1695/2014 du 14 mai 2014</w:t>
      </w:r>
    </w:p>
    <w:p>
      <w:r>
        <w:t>IT: TAF E-1695/2014 del 14 maggio 2014</w:t>
      </w:r>
    </w:p>
    <w:p>
      <w:pPr>
        <w:pStyle w:val="Heading2"/>
      </w:pPr>
      <w:r>
        <w:t>Regeste</w:t>
      </w:r>
    </w:p>
    <w:p>
      <w:r>
        <w:t>Asyl und Wegweisung</w:t>
      </w:r>
    </w:p>
    <w:p>
      <w:pPr>
        <w:pStyle w:val="Heading2"/>
      </w:pPr>
      <w:r>
        <w:t>Erwägungen</w:t>
      </w:r>
    </w:p>
    <w:p>
      <w:r>
        <w:rPr>
          <w:b/>
        </w:rPr>
        <w:t>E. 4</w:t>
      </w:r>
    </w:p>
    <w:p>
      <w:r>
        <w:t>4.1 Der Beschwerdeführer macht das Vorliegen subjektiver Nachfluchtgründe im Sinn von Art. 54 AsylG geltend, indem er vorbringt, er sei am (...) in der Schweiz zum Christentum konvertiert.</w:t>
      </w:r>
    </w:p>
    <w:p>
      <w:r>
        <w:rPr>
          <w:b/>
        </w:rPr>
        <w:t>E. 4.2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4.3</w:t>
      </w:r>
    </w:p>
    <w:p>
      <w:r>
        <w:t>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der FK wieder relativiert (Art. 3 Abs. 4 in fine AsylG).</w:t>
      </w:r>
    </w:p>
    <w:p>
      <w:r>
        <w:rPr>
          <w:b/>
        </w:rPr>
        <w:t>E. 4.4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 5.In der Beschwerde wird geltend gemacht, die Feststellung im angefochtenen Entscheid, wonach der Glaubenswechsel nicht nachhaltig sei, widerspreche den Akten. Diesbezüglich ist zunächst darauf hinzuweisen, dass nicht selten Konversionen "organisiert" werden, um im Aufenthaltsland ein entsprechendes Anwesenheitsrecht zu erwirken. Ob dies beim Beschwerdeführer der Fall ist, kann vorliegend offen bleiben, wenngleich die Ernsthaftigkeit aufgrund seiner anlässlich der Anhörung vom 17. Januar 2014 gemachten Aussagen zumindest zweifelhaft erscheint (vgl. Akten BFM B4/8 S.4). Entgegen der in der Rechtsmitteleingabe vertretenen Auffassung und trotz der eingereichten Beweismittel sieht das Gericht aufgrund der aktuellen Situation im Iran nämlich keinen Anlass, von seiner Praxis abzuweichen. Dementsprechend vermag eine christliche Glaubensausübung gegebenenfalls dann flüchtlingsrechtlich relevante Massnahmen auszulösen, wenn sie in der Schweiz aktiv und sichtbar nach aussen praktiziert wird und im Einzelfall davon ausgegangen werden muss, dass das heimatliche Umfeld von einer solchen aktiven, allenfalls gar missionierende Züge annehmenden Glaubensausübung erfährt. Sollten nahe Familienangehörige fanatische Muslime sein, kann der Übertritt zum Christentum zu Denunzierung bei iranischen Sicherheitsdiensten führen. Zudem kann der Übertritt zum Christentum immer auch als "Hochverrat, Staatsverrat, Abfall von der eigenen Sippe und dem eigenen Stamm" gesehen werden. Bei Konversionen im Ausland muss daher bei der Prüfung im Einzelfall neben der Glaubhaftigkeit der Konversion auch das Ausmass der öffentlichen Bekanntheit für die betroffene Person in Betracht gezogen werden (vgl. BVGE 2009/28 E. 7.3.5). Eine Glaubensausübung in diesem Sinne ist beim Beschwerdeführer nicht ersichtlich, noch wenn davon ausgegangen wird, dass die Konversion zum Christentum ernsthaft und nachhaltig erfolgt ist. Es bestehen in der Tat auch keine konkreten Anzeichen dafür, dass die iranischen Behörden überhaupt davon Kenntnis genommen hätten. Es erübrigt sich, auf die weiteren Ausführungen in der Beschwerde einzugehen, da sie an diesen Schlussfolgerungen nichts zu ändern vermögen. Die Vorinstanz hat zu Recht festgestellt, dass der Beschwerdeführer die Flüchtlingseigenschaft nicht erfüllt. 6.6.1 Lehnt das Bundesamt das Asylgesuch ab oder tritt es darauf nicht ein, so verfügt es in der Regel die Wegweisung aus der Schweiz und ordnet den Vollzug an; es berücksichtigt dabei den Grundsatz der Einheit der Familie (Art. 44 AsylG). 6.2 Der Beschwerdeführer verfügt weder über eine ausländerrechtliche Aufenthaltsbewilligung noch über einen Anspruch auf Erteilung einer solchen. Die Wegweisung wurde demnach zu Recht angeordnet (Art. 44 Abs. 1 AsylG; BVGE 2009/50 E. 9 S. 737). 7.7.1 Ist der Vollzug der Wegweisung nicht zulässig, nicht zumutbar oder nicht möglich, regelt das Bundesamt das Anwesenheitsverhältnis nach den gesetzlichen Bestimmungen über die vorläufige Aufnahme von Ausländern (Art. 44 AsylG; Art. 83 Abs. 1 AuG [SR 142.20]). Beim Geltendmachen von Wegweisungsvollzugshindernissen gilt gemäss ständiger Praxis des Bundesverwaltungsgerichts der gleiche Beweisstandard wie bei der Flüchtlingseigenschaft, das heisst, sie sind zu beweisen, wenn der strikte Beweis möglich ist, und andernfalls wenigstens glaubhaft zu machen. 7.2 7.2.1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7.2.2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7.2.3 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7.2.4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Urteil EGMR [Grosse Kammer], Saadi gegen Italien vom 28. Feb­ruar 2008, 37201/06, §§ 124-127, mit weiteren Hinweisen). Auch die allgemeine Menschenrechtssituation im Iran lässt den Wegweisungsvollzug zum heutigen Zeitpunkt nicht als unzulässig erscheinen. Der Vollzug der Wegweisung ist sowohl im Sinn der asyl- als auch der völkerrechtlichen Bestimmungen zulässig. 7.37.3.1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7.3.2 Im Iran herrscht keine Situation allgemeiner Gewalt, weshalb von der generellen Zumutbarkeit des Wegweisungsvollzugs ausgegangen werden kann. Ferner lassen sich den Akten auch keine individuellen Vollzugsnindernisse entnehmen. Beim Beschwerdeführer handelt es sich um einen jungen und gesunden Mann mit beruflicher Erfahrung (...) und (...). Zudem verfügt er im Heimatstaat über ein tragfähiges Beziehungsnetz. Bei dieser Ausgangslage ist nicht davon auszugehen, dass er bei einer Rückkehr in den Iran in eine existenzielle Notlage geraten wird. 7.4 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 7.5 Zusammenfassend hat die Vorinstanz den Wegweisungsvollzug zu Recht als zulässig, zumutbar und möglich bezeichnet. Die Anordnung einer vorläufigen Aufnahme fällt damit ausser Betracht (Art. 83 Abs. 1-4 AuG). 8.Aus diesen Erwägungen ergibt sich, dass die angefochtene Verfügung Bundesrecht nicht verletzt und den rechtserheblichen Sachverhalt richtig und vollständig feststellt (Art. 106 Abs. 1 AsylG). Die Beschwerde ist abzuweisen. 9.Bei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einbezahlte Kostenvorschuss wird zur Bezahlung der Verfahrenskosten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