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E-1693/2010 vom 20. Mai 2010</w:t>
      </w:r>
    </w:p>
    <w:p>
      <w:r>
        <w:t>Bundesverwaltungsgericht, 2010-05-20, FR</w:t>
      </w:r>
    </w:p>
    <w:p>
      <w:r>
        <w:rPr>
          <w:b/>
        </w:rPr>
        <w:t xml:space="preserve">Quelle: </w:t>
      </w:r>
      <w:r>
        <w:t>https://mcp.opencaselaw.ch/entscheid/bvger_E-1693_2010</w:t>
      </w:r>
    </w:p>
    <w:p>
      <w:r>
        <w:t>FR: TAF E-1693/2010 du 20 mai 2010</w:t>
      </w:r>
    </w:p>
    <w:p>
      <w:r>
        <w:t>IT: TAF E-1693/2010 del 20 maggio 2010</w:t>
      </w:r>
    </w:p>
    <w:p>
      <w:pPr>
        <w:pStyle w:val="Heading2"/>
      </w:pPr>
      <w:r>
        <w:t>Regeste</w:t>
      </w:r>
    </w:p>
    <w:p>
      <w:r>
        <w:t>Asile et renvoi</w:t>
      </w:r>
    </w:p>
    <w:p>
      <w:pPr>
        <w:pStyle w:val="Heading2"/>
      </w:pPr>
      <w:r>
        <w:t>Erwägungen</w:t>
      </w:r>
    </w:p>
    <w:p>
      <w:r>
        <w:rPr>
          <w:b/>
        </w:rPr>
        <w:t>E. 1.1</w:t>
      </w:r>
    </w:p>
    <w:p>
      <w:r>
        <w:t>Le TAF est compétent pour se prononcer sur la présente demande de révision formée contre son propre arrêt (cf. art. 121 à 128 de la loi du 17 juin 2005 sur le Tribunal fédéral [LTF, RS 173.110] applicables par analogie en vertu du renvoi de l'art. 45 de la loi du 17 juin 2005 sur le Tribunal administratif fédéral [LTAF, RS 173.32]).</w:t>
      </w:r>
    </w:p>
    <w:p>
      <w:r>
        <w:rPr>
          <w:b/>
        </w:rPr>
        <w:t>E. 1.2</w:t>
      </w:r>
    </w:p>
    <w:p>
      <w:r>
        <w:t>Ayant été partie à la procédure ayant abouti à l'arrêt du 14 juillet 2009 et ayant un intérêt digne de protection à la reprise du litige (cf. André Moser/Michael Beusch/Lorenz Kneubühler, Prozessieren vor dem Bundesverwaltungsgericht, Bâle 2008, § 5.70 ; voir aussi arrêt du Tribunal fédéral 4F_3/2007 du 27 juin 2007 et ATF 114 II 189 consid. 2), le requérant bénéficie sans conteste de la qualité pour agir en révision à l'encontre de cet arrêt. Il y a donc lieu d'examiner chacun des motifs de révision invoqués. A noter en effet que le TAF ne peut annuler son arrêt que s'il admet l'un des motifs de révision invoqués (cf. art. 128 al. 1 LTF applicable par renvoi de l'art. 45 LTAF), ce qui implique que la demande de révision doit énoncer les motifs pour lesquels elle est présentée (cf. également art. 67 al. 3 de la loi fédérale du 20 décembre 1968 sur la procédure administrative [PA, RS 172.021] applicable par renvoi de l'art. 47 LTAF), lesquels sont seuls examinés par le TAF.</w:t>
      </w:r>
    </w:p>
    <w:p>
      <w:r>
        <w:rPr>
          <w:b/>
        </w:rPr>
        <w:t>E. 2.1</w:t>
      </w:r>
    </w:p>
    <w:p>
      <w:r>
        <w:t>Le requérant a d'abord invoqué de nouveaux constats médicaux à l'appui de sa demande. Sa demande présentée pour le motif prévu par l'art. 123 al. 2 let. a LTF (cf. art. 47 LTAF et art. 67 al. 3 PA) est, sur ce point, recevable.</w:t>
      </w:r>
    </w:p>
    <w:p>
      <w:r>
        <w:rPr>
          <w:b/>
        </w:rPr>
        <w:t>E. 2.2</w:t>
      </w:r>
    </w:p>
    <w:p>
      <w:r>
        <w:t>Pour les motifs de révision prévus à l'art. 123 LTF, la demande de révision doit être déposée devant le TAF, sous peine de forclusion, dans les 90 jours qui suivent la découverte du motif de révision (cf. art. 124 al. 1 let. d LTF). Il s'agit là d'une question qui relève de la recevabilité, et non du fond (ATF 81 II 475 consid. 1, ATF 76 I 130 consid. 2), au contraire de celle de savoir si le requérant a tardé à découvrir le motif de révision invoqué, qui doit s'apprécier notamment à l'aune du principe de la bonne foi. La découverte du motif de révision implique que le requérant a une connaissance suffisamment sûre du fait nouveau pour pouvoir l'invoquer, même s'il n'est pas en mesure d'en apporter une preuve certaine ; une simple supposition ne suffit pas. S'agissant plus particulièrement d'une preuve nouvelle, le requérant doit pouvoir disposer d'un titre l'établissant ou en avoir une connaissance suffisante pour en requérir l'administration (cf. arrêt du Tribunal fédéral 4C.111/2006 du 7 novembre 2006 consid. 1.1 et réf. cit.). En l'occurrence, à première vue, il semble que le requérant ait été suffisamment informé du risque élevé et imminent de suicide en cas d'exécution du renvoi déjà à réception du constat médical du 26 août 2009 et non pas seulement à réception de celui du 3 mars 2010, comme il l'a indiqué. Cela étant, la question de savoir si, déposée devant le TAF, le 18 mars 2010, la demande de révision présentée pour le motif prévu par l'art. 123 al. 2 let. a LTF l'a été dans le délai prévu à l'art. 124 al. 1 let. d LTF de 90 jours à compter de la découverte de ce motif peut demeurer indécise, compte tenu de l'issue au fond de la demande présentée pour ce motif.</w:t>
      </w:r>
    </w:p>
    <w:p>
      <w:r>
        <w:rPr>
          <w:b/>
        </w:rPr>
        <w:t>E. 2.3</w:t>
      </w:r>
    </w:p>
    <w:p>
      <w:r>
        <w:t>Aux termes de l'art. 123 al. 2 let. a LTF, la révision peut être demandée dans les affaires civiles et les affaires de droit public, si le requérant découvre après coup des faits pertinents ou des moyens de preuve concluants qu'il n'avait pas pu invoquer dans la procédure précédente, à l'exclusion des faits ou moyens de preuve postérieurs à l'arrêt.</w:t>
      </w:r>
    </w:p>
    <w:p>
      <w:r>
        <w:rPr>
          <w:b/>
        </w:rPr>
        <w:t>E. 2.4</w:t>
      </w:r>
    </w:p>
    <w:p>
      <w:r>
        <w:t>Selon la jurisprudence du Tribunal fédéral, même si contrairement à l'ancien art. 137 let. b de l'ancienne loi fédérale du 16 décembre 1943 d'organisation judiciaire (OJ), l'art. 123 al. 1 let. a LTF ne contient plus l'expression impropre de « faits nouveaux », mais précise qu'il doit s'agir de faits pertinents découverts après coup, à l'exclusion des faits postérieurs à l'arrêt, les principes jurisprudentiels rendus à propos de l'art. 137 let. b OJ, en particulier en ce qui concerne la notion de faits et preuves nouveaux, demeurent valables pour l'interprétation de l'art. 123 al. 2 let. a LTF (cf. ATF 134 IV 48 consid. 1.2 ; arrêt du Tribunal fédéral 4F_1/2007 du 13 mars 2007 consid. 7). Ne peuvent dès lors justifier une révision que les faits qui se sont produits jusqu'au moment où, dans la procédure principale, des allégations de faits étaient encore recevables, mais qui n'étaient pas connus du requérant malgré toute sa diligence ; en outre, ces faits doivent être pertinents, c'est-à-dire de nature à modifier l'état de fait qui est à la base de l'arrêt entrepris et à conduire à un jugement différent en fonction d'une appréciation juridique correcte. 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(cf. ATF 127 V 353 consid. 5b et jurisp. cit.).</w:t>
      </w:r>
    </w:p>
    <w:p>
      <w:r>
        <w:rPr>
          <w:b/>
        </w:rPr>
        <w:t>E. 2.5</w:t>
      </w:r>
    </w:p>
    <w:p>
      <w:r>
        <w:t>En l'occurrence, la question de savoir si, nonobstant la lettre de l'art. 123 al. 2 let. a LTF (« à l'exclusion des faits ou moyens de preuve postérieurs à l'arrêt »), la demande de révision présentée sur la base des constats médicaux des 26 août 2009 et 3 mars 2010, établis postérieurement à l'arrêt E-6329/2006 du TAF du 14 juillet 2009 dont la révision est demandée, et portant, selon le requérant, sur un fait antérieur prétendument non connu ou, suivant une autre version, déjà allégué en procédure ordinaire, à savoir le risque élevé et imminent de suicide en cas d'exécution du renvoi, est recevable peut demeurer indécise. Une réponse affirmative à cette question pourrait être donnée en raison de la maxime inquisitoire prévue par l'art. 12 PA ayant régi la procédure ayant abouti à cet arrêt, du plein pouvoir d'examen du TAF et de la recevabilité des « nova » dans cette procédure ordinaire, et de la qualité du TAF de dernière instance à avoir statué au fond (cf. dans ce sens, ATF 134 III 45 consid. 2.2 relatif à la révision d'un arrêt du Tribunal fédéral rendu sur recours de droit public pour le motif prévu par l'art. 123 al. 2 let. a LTF). En tout état de cause, à admettre sa recevabilité, la demande de révision en tant qu'elle relève de moyens de preuve postérieurs à l'arrêt dont la révision est demandée doit être rejetée comme manifestement infondée, ainsi qu'exposé ci-après.</w:t>
      </w:r>
    </w:p>
    <w:p>
      <w:r>
        <w:rPr>
          <w:b/>
        </w:rPr>
        <w:t>E. 2.6</w:t>
      </w:r>
    </w:p>
    <w:p>
      <w:r>
        <w:t>Le degré élevé et imminent de suicidalité du requérant tel qu'attesté par les constats médicaux des 26 août 2009 et 3 mars 2010 constitue un fait connu, prouvé par les nombreux rapports médicaux produits en procédure ordinaire, lesquels ont mentionné les hospitalisations consécutives à des tentatives de suicide (ce que ne conteste d'ailleurs pas le requérant, cf. demande de révision, ch. 8, p. 8), et apprécié dans les considérants en matière de licéité de l'exécution du renvoi de l'arrêt dont la révision est demandée (cf. arrêt E-6329/2006 du TAF du 14 juillet 2009 let. J, K, O, P et consid. 4.2). En outre, il ne constitue pas non plus un fait nouveau en matière d'exigibilité de l'exécution du renvoi, le TAF ayant exclu dans l'arrêt dont la révision est demandée l'éventuel octroi d'une admission provisoire pour inexigibilité de l'exécution du renvoi compte tenu de l'application de l'art. 83 al. 7 let. b LEtr et eu égard à la pesée des intérêts (exigée par le principe de la proportionnalité) à laquelle le TAF a procédé dans le jugement attaqué. Aussi, par ce motif de révision, le recourant tente d'obtenir du TAF une nouvelle appréciation de faits connus qui soit différente de celle retenue précédemment, ce que l'institution de la révision ne permet pas. Il n'y a pas non plus lieu de fixer un délai au demandeur pour la production de l'expertise pénale annoncée, dès lors que cette pièce se rapporte à des faits déjà connus du Tribunal par le jugement pénal du 2 juin 2006.</w:t>
      </w:r>
    </w:p>
    <w:p>
      <w:r>
        <w:rPr>
          <w:b/>
        </w:rPr>
        <w:t>E. 3</w:t>
      </w:r>
    </w:p>
    <w:p>
      <w:r>
        <w:t>Le requérant a ensuite présenté sa demande de révision pour violation par le TAF des règles sur le droit d'être entendu au sens de l'art. 66 al. 2 let. c PA. La LTAF prévoit une règle de procédure spécifique claire et univoque s'agissant des motifs de révision des arrêts du TAF par le renvoi de l'art. 45 LTAF aux art. 121 à 123 LTF. Aussi, l'art. 66 PA sur les motifs de révision n'est pas applicable aux procédures devant le TAF de révision de ses propres arrêts, conformément à l'art. 37 LTAF appliqué a contrario (cf. Karin Scherrer, commentaire ad art. 66 PA in : Bernhard Waldmann / Philippe Weissenberger [édit.], VwVG Praxiskommentar zum Bundesgesetz über das Verwaltungsverfahren, Zurich/Bâle/Genève 2009, no 5 p. 1301 ; August Mächler, commentaire ad art. 66 PA in : Kommentar zum Bundesgesetz über das Verwaltungsverfahren, Christoph Auer/Markus Müller/Benjamin Schindler [édit.], Zurich/Saint Gall, 2008, no 5 p. 855 s. ; André Moser/Michael Beusch/Lorenz Kneubühler, op. cit., §§ 5.41, 5.52 et 5.67 ; voir aussi ATAF 2007 no 11 consid. 4 ; ). En l'occurrence, il s'agit d'une procédure devant le TAF de révision de son propre arrêt du 14 juillet 2009. Le motif de révision de l'art. 66 al. 2 let. c PA de violation des art. 29 à 33 PA sur le droit d'être entendu invoqué par le requérant n'est pas prévu aux art. 121 à 123 LTF. Aussi, la demande de révision, en tant qu'elle est présentée pour violation des règles sur le droit d'être entendu, un motif de révision non prévu par le régime de la LTF seul applicable en la matière, est irrecevable.</w:t>
      </w:r>
    </w:p>
    <w:p>
      <w:r>
        <w:rPr>
          <w:b/>
        </w:rPr>
        <w:t>E. 4</w:t>
      </w:r>
    </w:p>
    <w:p>
      <w:r>
        <w:t>Le requérant a enfin présenté sa demande de révision pour violation des art. 2 et 3 CEDH. L'application de l'art. 122 LTF, qu'il invoque ainsi implicitement, implique une constatation d'une violation de la CEDH ou de ses protocoles dans un arrêt définitif de la Cour européenne des droits de l'homme (let. a). Cette condition n'est à l'évidence pas remplie, aucun arrêt de cette Cour, statuant sur le cas de l'intéressé, n'étant produit ni même mentionné. Partant, la demande de révision présentée pour le motif de violation des art. 2 et 3 CEDH est irrecevable (cf. dans le même sens, arrêt du Tribunal fédéral 6F_17/2007 du 11 février 2008 consid. 3).</w:t>
      </w:r>
    </w:p>
    <w:p>
      <w:r>
        <w:rPr>
          <w:b/>
        </w:rPr>
        <w:t>E. 5</w:t>
      </w:r>
    </w:p>
    <w:p>
      <w:r>
        <w:t>La conclusion relative à l'octroi d'une autorisation cantonale annuelle de séjour (permis B), quant à elle, ne repose sur aucun des motifs de révision exhaustivement énumérés par la LTF et sort à l'évidence de l'objet du litige ; elle est à ce titre également irrecevable.</w:t>
      </w:r>
    </w:p>
    <w:p>
      <w:r>
        <w:rPr>
          <w:b/>
        </w:rPr>
        <w:t>E. 6</w:t>
      </w:r>
    </w:p>
    <w:p>
      <w:r>
        <w:t>Au vu de ce qui précède, la demande de révision de l'arrêt E-6329/2006 du TAF du 14 juillet 2009 doit être rejetée, dans la mesure où elle est recevable. Il est statué sans échange d'écritures (cf. art. 127 LTF applicable par analogie en vertu du renvoi de l'art. 45 LTAF).</w:t>
      </w:r>
    </w:p>
    <w:p>
      <w:r>
        <w:rPr>
          <w:b/>
        </w:rPr>
        <w:t>E. 7</w:t>
      </w:r>
    </w:p>
    <w:p>
      <w:r>
        <w:t>Les conclusions du requérant s'avérant d'emblée vouées à l'échec, la demande d'assistance judiciaire doit être rejetée (cf. art. 29 al. 3 Cst. et art. 65 al. 1 PA en relation avec l'art. 37 LTAF ; voir aussi André Moser/Michael Beusch/Lorenz Kneubühler, op. cit., §§ 5.66 et 5.67).</w:t>
      </w:r>
    </w:p>
    <w:p>
      <w:r>
        <w:rPr>
          <w:b/>
        </w:rPr>
        <w:t>E. 8</w:t>
      </w:r>
    </w:p>
    <w:p>
      <w:r>
        <w:t>Au vu de l'issue de la cause, il y a lieu de mettre les frais de procédure, d'un montant de Fr. 900.-, à la charge du requérant, conformément à l'art. 63 al. 1 PA en relation avec l'art. 37 LTAF et aux art. 2 et art.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