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E-1693/2009 vom 24. November 2011</w:t>
      </w:r>
    </w:p>
    <w:p>
      <w:r>
        <w:t>Bundesverwaltungsgericht, 2011-11-24, DE</w:t>
      </w:r>
    </w:p>
    <w:p>
      <w:r>
        <w:rPr>
          <w:b/>
        </w:rPr>
        <w:t xml:space="preserve">Quelle: </w:t>
      </w:r>
      <w:r>
        <w:t>https://mcp.opencaselaw.ch/entscheid/bvger_E-1693_2009</w:t>
      </w:r>
    </w:p>
    <w:p>
      <w:r>
        <w:t>FR: TAF E-1693/2009 du 24 novembre 2011</w:t>
      </w:r>
    </w:p>
    <w:p>
      <w:r>
        <w:t>IT: TAF E-1693/2009 del 24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führte zur Begründung seines negativen Entscheides aus, die Vorbringen der Beschwerdeführenden hielten den Anforderungen an die Glaubhaftigkeit gemäss Art. 7 AsylG nicht stand, weshalb ihre Asylrelevanz nicht zu prüfen sei. So habe der Beschwerdeführer bei der Erstbefragung von einem Versuch gesprochen, den Streit mit den Eltern wegen der vollzogenen Heirat zu schlichten, bei der Anhörung jedoch behauptet, es hätten zwei solche Versuche und Kontakte mit den Eltern stattgefunden. Zudem habe er bei der Erstbefragung ausgesagt, er habe während seines Aufenthaltes in G._______ telefonisch die Mitteilung erhalten, seine Frau und sein Kind seien in Gefahr, worauf er nach Pakistan zurückgekehrt sei und dann mit der Familie das Land verlassen habe. In der Anhörung auf konkrete, die Flucht auslösende Ereignisse angesprochen, habe er indessen angegeben, es sei nichts vorgefallen.</w:t>
      </w:r>
    </w:p>
    <w:p>
      <w:r>
        <w:rPr>
          <w:b/>
        </w:rPr>
        <w:t>E. 4.1.2</w:t>
      </w:r>
    </w:p>
    <w:p>
      <w:r>
        <w:t>Des Weiteren seien Vorbringen tatsachenwidrig, wenn sie in wesentlichen Punkten den gesicherten Erkenntnissen des BFM widersprechen würden. Der Beschwerdeführer habe angegeben, (...) Tage nach der Geburt seiner Tochter sei sein Haus zerstört und dabei ein Drohbrief seiner Familie hinterlassen worden. Auf die Frage, ob dies den Gepflogenheiten der (...) Stammesgesetze entspreche, habe er keine überzeugende Antwort zu geben vermocht, sondern pauschal erklärt, die K._______ handelten ohne zu überlegen. Gemäss allgemein bekannten und öffentlich zugänglichen Quellen bestünden die (...) Stammesgesetze, die L._______, jedoch aus einem klar geregelten und definierten Rechts- und Ehrenkodex, worin genau festgehalten sei, bei welcher Art von Streitigkeiten wer schlichte und wie geschlichtet werde. Das von den Beschwerdeführenden vorgebrachte Abbrennen der Wohnung sowie das Hinterlassen eines Drohbriefes entspreche indessen in keiner Weise dem Vorgehen bei familienrechtlichen Streitigkeiten unter (...)familien.</w:t>
      </w:r>
    </w:p>
    <w:p>
      <w:r>
        <w:rPr>
          <w:b/>
        </w:rPr>
        <w:t>E. 4.1.3</w:t>
      </w:r>
    </w:p>
    <w:p>
      <w:r>
        <w:t>Zudem hätten die Beschwerdeführenden die angeblichen Bedrohungen seitens der Eltern wenig detailliert, wenig überzeugend und wenig lebensnah geschildert. Insbesondere habe der Beschwerdeführer auch auf konkrete Nachfrage hin nichts Schlüssiges mitzuteilen vermocht, und seine Aussagen bezüglich Ort, Zeitpunkt und Dauer der Nachstellungen seien vage geblieben. Aber auch die Beschwerdeführerin, welche nach eigenen Angaben aufgrund der familiären Übergriffe mehrere Jahre bei einem Onkel in I._______ gelebt haben wolle, sei nicht in der Lage gewesen, zu diesem Aufenthalt Details wie zeitliche Angaben oder Wohnadres-se zu liefern.</w:t>
      </w:r>
    </w:p>
    <w:p>
      <w:r>
        <w:rPr>
          <w:b/>
        </w:rPr>
        <w:t>E. 4.1.4</w:t>
      </w:r>
    </w:p>
    <w:p>
      <w:r>
        <w:t>Schliesslich würden die Vorbringen auch der allgemeinen Erfahrung oder der Logik des Handelns widersprechen. So seien den Beschwerdeführenden offenbar am (...) (Beschwerdeführerin und Tochter) und am (...) (Beschwerdeführer) auf regulärem Wege in E._______ Pässe ausgestellt worden, was sich jedoch nicht mit dem Umstand vereinen lasse, dass der Beschwerdeführer zu diesem Zeitpunkt in G._______ und die Beschwerdeführerin sowie ihre Tochter versteckt bei einem Onkel in I._______ gelebt hätten. Im Übrigen würden die Angehörigen der Beschwerdeführenden auch kaum (...) Jahre benötigt haben, um deren Aufenthaltsort herauszufinden.</w:t>
      </w:r>
    </w:p>
    <w:p>
      <w:r>
        <w:rPr>
          <w:b/>
        </w:rPr>
        <w:t>E. 4.1.5</w:t>
      </w:r>
    </w:p>
    <w:p>
      <w:r>
        <w:t>Der Vollzug der Wegweisung sei zulässig, möglich und zumutbar. Der (...) und (...) sprechende Beschwerdeführer sei ausgebildeter (...) und verfüge über eine höhere Schulbildung, womit es ihm möglich sein dürfte, in seiner Heimat wieder ein Auskommen zu finden und für seine Familie zu sorgen.</w:t>
      </w:r>
    </w:p>
    <w:p>
      <w:r>
        <w:rPr>
          <w:b/>
        </w:rPr>
        <w:t>E. 4.2.1</w:t>
      </w:r>
    </w:p>
    <w:p>
      <w:r>
        <w:t>In der Beschwerde hält der Beschwerdeführer der Argumentation des BFM entgegen, er sei bei der Erstbefragung aufgefordert worden, sich kurz zu fassen, weshalb er dort im Unterschied zur Anhörung nur einen Vermittlungsversuch erwähnt habe. Seine Aussage anlässlich der Anhörung, es sei nichts vorgefallen, stehe nicht im Widerspruch zu seiner Aussage anlässlich der Erstbefragung, er habe telefonisch erfahren, dass seine Frau und seine Tochter in Gefahr seien, weil er damit lediglich gemeint habe, diese seien nicht verletzt worden. Der Vater und der Bruder hätten aber den Onkel aufgesucht und nach seiner Frau gefragt sowie gedroht, diese umzubringen. Weshalb sich der Vater und der Bruder nicht an die Stammesgesetze gehalten hätten, könne er auch nicht sagen, es sei ihm daraus kein Vorwurf zu machen. Dass seine Frau nicht viel über den mehrjährigen Aufenthalt in I._______ habe erzählen können, hänge damit zusammen, dass Frauen in Pakistan zuweilen sehr zurückgezogen leben würden. Wieso der Vater und der Bruder erst nach (...) Jahren gekommen seien, wüssten sie nicht. Sie stammten aus der (...)provinz, wo die Taliban die Macht übernommen hätten. Wer nicht nach deren strengen Regeln lebe, sei in Lebensgefahr. Durch ihre Heirat seien sie bereits in Konflikt mit den Stammesgesetzen geraten, so dass eine Rückkehr unzulässig sei. Es sei für ihn nicht schwierig gewesen, im Jahre (...) einen Pass zu beantragen, obwohl er in G._______ gewesen sei, da man nicht persönlich vorsprechen müsse.</w:t>
      </w:r>
    </w:p>
    <w:p>
      <w:r>
        <w:rPr>
          <w:b/>
        </w:rPr>
        <w:t>E. 4.2.2</w:t>
      </w:r>
    </w:p>
    <w:p>
      <w:r>
        <w:t>Der Vollzug der Wegweisung sei undurchführbar, weil er für die Reise nach Europa Schulden gemacht habe und in Pakistan von den Gläubigern verfolgt würde. Ausserdem würden in E._______ immer mehr die Taliban die Macht übernehmen, welche ein willkürliches Herrschaftsregime errichteten. Auch sonst komme es dort immer öfter zu Unruhen.</w:t>
      </w:r>
    </w:p>
    <w:p>
      <w:r>
        <w:rPr>
          <w:b/>
        </w:rPr>
        <w:t>E. 5.1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[vormaligen]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5.2.1</w:t>
      </w:r>
    </w:p>
    <w:p>
      <w:r>
        <w:t>Es ist mit der Vorinstanz einigzugehen, dass die Asylvorbringen der Beschwerdeführenden den Anforderungen an die Glaubhaftigkeit nicht genügen. Die Aussagen der Beschwerdeführenden sind insgesamt sehr oberflächlich und unbestimmt geblieben und teilweise sogar in zentralen Punkten widersprüchlich ausgefallen. Während die Beschwerdeführerin bei der Erstbefragung erklärte, sie habe nach der Heirat zu niemandem mehr Kontakt gehabt und in I._______ nichts mehr von ihrer Familie gehört (Akten BFM A 2/11 S. 7), führte der Beschwerdeführer aus, er habe (...) Monate nach der Heirat eine ältere Familie zu beiden Familien geschickt, damit sie diesen mitteile, dass seine Frau schwanger sei, und die Familien ihnen verzeihen würden, was sie aber nicht getan hätten (A 1/12 S. 7). Bei der Anhörung erwähnte der Beschwerdeführer erstmals einen zweiten Schlichtungsversuch, welcher (...) nach dem ersten stattgefunden habe, jedoch ebenfalls gescheitert sei (A 14/12 F26). Im Gegensatz zu ihrem Ehemann erklärte die Beschwerdeführerin bei der Anhörung auf entsprechende Nachfrage jedoch, dass diese Leute nur zu ihren Eltern und nicht auch zur Familie ihres Mannes gegangen seien (A 15/11 F53). Unterschiedlich fielen des Weiteren auch die Aussagen zu den Vorfällen in der Zeit nach der Geburt der Tochter aus, indem die Beschwerdeführerin in der Erstbefragung ausführte, (...) Tage nach der Geburt seien sie nach Hause gegangen, wo sie ein Durcheinander, verbrannte Kleider und einen Drohbrief vorgefunden hätten, der Beschwerdeführer jedoch sogar davon sprach, die Familie seiner Frau habe ihr Haus niedergebrannt (A 2/11 S. 7 und A 1/12 S. 7). Wenig nachvollziehbar ist im Übrigen auch das von den Beschwerdeführenden geschilderte Verhalten ihrer Familienangehörigen, welche zwar ihren nach der Hochzeit gewählten Aufenthaltsort gekannt (A15/11 F56 und A14/12 F55-58), aber bis zur Geburt der Tochter nichts unternommen hätten, um dann ausgerechnet während des Spitalaufenthaltes die Wohnung zu zerstören und eine Morddrohung zu hinterlassen. Kommt hinzu, dass die Familie bei bestehender Tötungsabsicht wohl kaum weitere (...) Jahre zugewartet hätte, um erstmals bei einem Onkel (...) in I._______ vorstellig zu werden und nach den Beschwerdeführenden zu fragen, war dieser Aufenthaltsort als Fluchtort schliesslich sogar nach Aussage der Beschwerdeführerin doch naheliegend (A 15/11 F72).</w:t>
      </w:r>
    </w:p>
    <w:p>
      <w:r>
        <w:rPr>
          <w:b/>
        </w:rPr>
        <w:t>E. 5.2.2</w:t>
      </w:r>
    </w:p>
    <w:p>
      <w:r>
        <w:t>Um Wiederholungen zu vermeiden kann für die weiteren Unglaubhaftigkeitselemente auf die zutreffenden Erwägungen der Vorinstanz in der angefochtenen Verfügung verwiesen werden, welche durch die äusserst allgemein und pauschal gehaltenen und damit als Schutzbehauptungen zu qualifizierenden Entgegnungen in der Beschwerde nicht entkräftet werden können.</w:t>
      </w:r>
    </w:p>
    <w:p>
      <w:r>
        <w:rPr>
          <w:b/>
        </w:rPr>
        <w:t>E. 5.2.3</w:t>
      </w:r>
    </w:p>
    <w:p>
      <w:r>
        <w:t>Nach dem Gesagten halten die vorgebrachten Asylgründe den Anforderungen an die Glaubhaftigkeit gemäss Art. 7 AsylG nicht stand, weshalb das BFM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Pakistan ist demnach unter dem Aspekt von Art. 5 AsylG rechtmässig. Sodann ergeben sich weder aus den Aussagen der Beschwerdeführen-den noch aus den Akten Anhaltspunkte dafür, dass sie für den Fall einer Ausschaffung nach Pakistan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7.2.2</w:t>
      </w:r>
    </w:p>
    <w:p>
      <w:r>
        <w:t>Wie vom BFM in der angefochtenen Verfügung zutreffend ausgeführt, sprechen weder die allgemeine Lage in Pakistan noch individuelle Gründe - die Beschwerdeführenden sind jung und gesund und der Beschwerdeführer verfügt über eine höhere Schulbildung sowie mehrere Jahre Berufserfahrung als (...) - gegen die Zumutbarkeit ihrer Rückführung. An dieser Einschätzung vermögen auch die Ausführungen in der Beschwerde, in Pakistan würden sie von den Gläubigern, welche die Bezahlung der Schlepperkosten ermöglicht hätten, verfolgt, und in E._______ würden immer mehr die Taliban die Macht übernehmen, welche ein willkürliches Herrschaftsregime errichteten, nichts zu ändern, da sie keine Hinweise für eine konkrete Gefährdung der Beschwerdeführenden liefern. Auch unter dem Blickwinkel des Kindeswohls steht einer Rückkehr der Beschwerdeführenden nach Pakistan nichts entgegen, da die beiden Kinder mit (...) und (...) Jahren vor allem auf die Eltern als Bezugspersonen fixiert sind. Mithin lässt auch die (doch eher kurze) Aufenthaltsdauer in der Schweiz nicht auf eine Entwurzelung der Kinder schliessen. Nach dem Gesagten erweist sich der Vollzug der Wegweisung damit auch als zumutbar.</w:t>
      </w:r>
    </w:p>
    <w:p>
      <w:r>
        <w:rPr>
          <w:b/>
        </w:rPr>
        <w:t>E. 7.3</w:t>
      </w:r>
    </w:p>
    <w:p>
      <w:r>
        <w:t>Schliesslich obliegt es den Beschwerdeführenden, sich bei der zuständigen Vertretung des Heimatstaates die für eine Rückkehr notwendigen Reisedokumente zu beschaffen (Art. 8 Abs. 4 AsylG; dazu auch BVGE 2008/34 E. 12 S. 513 - 515), weshalb der Vollzug der Wegweisung auch als möglich zu bezeichnen ist (Art. 83 Abs. 2 AuG).</w:t>
      </w:r>
    </w:p>
    <w:p>
      <w:r>
        <w:rPr>
          <w:b/>
        </w:rPr>
        <w:t>E. 7.4</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Was den noch nicht behandelten Antrag der Beschwerdeführenden auf vorsorgliche Anweisung der zuständigen Behörde, die Kontaktaufnahme mit den Behörden des Heimat- oder Herkunftsstaates sowie jegliche Datenweitergabe an dieselben zu unterlassen und bei bereits erfolgter Datenweitergabe darüber in einer separaten Verfügung zu informieren, anbelangt, so wird dieser mit vorliegendem Entscheid hinfällig. Im Übrigen finden sich in den Akten bis zum heutigen Zeitpunkt keine Hinweise, welche auf eine allfällige Bekanntgabe der in Art. 97 Abs. 3 Bstn. a-c AsylG erwähnten Personendaten gegenüber der zuständigen ausländischen Behörde hindeuten würden.</w:t>
      </w:r>
    </w:p>
    <w:p>
      <w:r>
        <w:rPr>
          <w:b/>
        </w:rPr>
        <w:t>E. 10</w:t>
      </w:r>
    </w:p>
    <w:p>
      <w:r>
        <w:t>Bei diesem Ausgang des Verfahrens wären die Kosten den Beschwerde-führenden aufzuerlegen (Art. 63 Abs. 1 und 5 VwVG). Da das Gesuch der Beschwerdeführenden um Gewährung der unentgeltlichen Rechtspflege mit Zwischenverfügung vom 25. März 2009 jedoch gutgeheissen wurde und infolge fehlender Erwerbstätigkeit nicht von einer Veränderung der finanziellen Situation auszugehen ist, sind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