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E-1692/2014 vom 21. August 2014</w:t>
      </w:r>
    </w:p>
    <w:p>
      <w:r>
        <w:t>Bundesverwaltungsgericht, 2014-08-21, FR</w:t>
      </w:r>
    </w:p>
    <w:p>
      <w:r>
        <w:rPr>
          <w:b/>
        </w:rPr>
        <w:t xml:space="preserve">Quelle: </w:t>
      </w:r>
      <w:r>
        <w:t>https://mcp.opencaselaw.ch/entscheid/bvger_E-1692_2014</w:t>
      </w:r>
    </w:p>
    <w:p>
      <w:r>
        <w:t>FR: TAF E-1692/2014 du 21 août 2014</w:t>
      </w:r>
    </w:p>
    <w:p>
      <w:r>
        <w:t>IT: TAF E-1692/2014 del 21 agosto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fait valoir trois motifs d'asile, à savoir son homosexualité, les risque de représailles provenant de bandes criminelles, et sa conversion à l'islam. Chacun de ces motifs sera examiné successivement.</w:t>
      </w:r>
    </w:p>
    <w:p>
      <w:r>
        <w:rPr>
          <w:b/>
        </w:rPr>
        <w:t>E. 4</w:t>
      </w:r>
    </w:p>
    <w:p>
      <w:r>
        <w:t>S'agissant de l'appartenance du recourant à la communauté homosexuelle, le Tribunal relève ce qui suit :</w:t>
      </w:r>
    </w:p>
    <w:p>
      <w:r>
        <w:rPr>
          <w:b/>
        </w:rPr>
        <w:t>E. 4.1</w:t>
      </w:r>
    </w:p>
    <w:p>
      <w:r>
        <w:t>En Serbie, la situation des homosexuels reste marquée par des préjugés affectant tous les secteurs de la société ; si les agressions physiques sont relativement rares, la discrimination dans le travail, l'accès au logement et aux soins, ainsi que de façon générale dans la vie quotidienne, reste courante (cf. The Danish Institute for Human Rights, Study on Homophobia, Transphobia and Discrimination on Grounds of Sexual Orientation and Gender Identity - Legal Report : Serbia, novembre 2012 ; US State Department, Country Report on Human Rights Practices, mars 2014). Une évolution s'est toutefois fait jour, depuis 2010, dans la position des autorités, lesquelles manifestent une tolérance nouvelle envers cette communauté. En application de la loi anti-discrimination de 2009, et de nouvelles dispositions pénales sur la circonstance aggravante de motivation haineuse ("hate crime"), la justice a commencé à réprimer plus sévèrement les agressions contre les homosexuels, ainsi que les abus de la liberté d'expression ; cette attitude nouvelle a incité les homosexuels à porter plainte lorsqu'il y avait atteinte à leurs droits ou discrimination à leur égard, et à entamer des procédures judiciaires. Si la "Gay Pride" n'a pu avoir lieu en 2011 et 2012, la ville de Belgrade a toutefois autorisé plusieurs rassemblements ou manifestations homosexuels dans les dernières années (cf. Gay-straight alliance, Report on Human Rights Status of LGBT Persons in Serbia 2011, mai 2012). L'édition 2013 de la "Gay Pride" a cependant été interdite, ceci pour la troisième année consécutive (le Monde, 28 septembre 2013). Ces progrès, qui concernent essentiellement un changement de comportement des autorités serbes, n'ont toutefois pas amoindri de manière sensible les préjugés populaires, et les discriminations dans la vie quotidienne semblent devoir persister encore longtemps ; il est toutefois devenu plus facile de s'en défendre par des moyens légaux (Cf. ILGA Europe, Serbia. Annual Rewiew of the Human Rights Situation of Lesbian, Gay, Bisexual, Trans and Intersex People, mai 2013).</w:t>
      </w:r>
    </w:p>
    <w:p>
      <w:r>
        <w:rPr>
          <w:b/>
        </w:rPr>
        <w:t>E. 4.2</w:t>
      </w:r>
    </w:p>
    <w:p>
      <w:r>
        <w:t>Dans le cas d'espèce, le Tribunal constate que les atteintes subies par A._______ - à savoir des insultes, une discrimination en matière de travail ou de logement, et des menaces manuscrites ou téléphoniques anonymes - n'étaient pas assez graves pour être qualifiées de persécution. L'intéressé fait certes valoir des agressions physiques, survenues à des dates et dans des circonstances indéterminées ; il ne s'est toutefois pas montré précis à ce sujet, et il est difficile de porter sur ces épisodes peu clairs une appréciation tranchée. Lors de la "Gay Pride" du 10 octobre 2010, l'intéressé aurait été physiquement agressé, mais uniquement en tant que participant au défilé, sans que ses agresseurs le connaissent personnellement ; là non plus, l'existence d'une persécution ciblée ne peut être retenue. La question peut certes se poser de l'existence d'une pression psychique insupportable. Une telle hypothèse suppose toutefois que le recourant ait été la victime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2010/28 consid. 3.3.1.1 p. 400-401 et réf. cit.). S'agissant de A._______, il n'apparaît pas que ces critères soient remplis, aussi désagréable qu'ait pu être la situation où il se trouvait, marquée par l'hostilité et le comportement discriminatoire que manifestaient les personnes qu'il côtoyait. Il ne ressort pas non plus de ses dires que cette pression ait été constante, mais seulement épisodique ; de plus, l'intéressé a souvent changé de résidence, rencontrant beaucoup moins de difficultés à P._______. Enfin, bien qu'ayant séjourné à plusieurs reprises en Allemagne (et ayant accompli de nombreux déplacements en Croatie et en Hongrie, comme le montrent ses deux passeports), il n'y a pas entrepris de procédure d'asile. Le Tribunal doit également prendre en compte la prise de position de l'ambassade, selon qui l'intéressé ne court pas de risques concrets et pressants, mais risque uniquement de se heurter à des manifestations d'animosité personnelle ; invité à répliquer, le recourant n'a pas fait valoir d'arguments nouveaux.</w:t>
      </w:r>
    </w:p>
    <w:p>
      <w:r>
        <w:rPr>
          <w:b/>
        </w:rPr>
        <w:t>E. 4.3</w:t>
      </w:r>
    </w:p>
    <w:p>
      <w:r>
        <w:t>En outre, le recourant n'aurait jamais été la cible de l'Etat en raison de son homosexualité, mais uniquement de particuliers agissant, à l'en croire, dans l'indifférence des autorités ; il y aurait donc eu persécution par des tiers, situation dont la décision de principe, publiée sous JICRA (Jurisprudence et informations de la Commission suisse de recours en matière d'asile) 2006°n° 18, a réglé les conséquences. Dans un tel cas, il ne peut y avoir reconnaissance de la qualité de réfugié que si une protection adéquate ne peut être assurée par l'autorité étatique ; la protection est adéquate lorsque la personne concernée bénéficie sur place d'un accès concret à des structures efficaces de protection et qu'il peut être raisonnablement exigé d'elle qu'elle fasse appel à ce système de protection interne (jurisprudence citée, consid. 10.2-10.3 p. 202-204). En l'espèce, comme on l'a vu ci-dessus, il n'est pas crédible que ces conditions fassent défaut. Jusqu'à son départ, le recourant n'a jamais fait valoir auprès des autorités, de manière directe, qu'il avait été la victime d'agressions ou d'autres atteintes personnelles, mais s'est limité à prendre des contacts informels, avec des personnes dont il n'a pas fourni l'identité ; il aurait certes porté plainte auprès de la police de B._______, mais n'a donné aucun détail à cet égard. De manière générale, on ne peut donc retenir que A._______ se soit vu opposer, par la police ou la justice serbe, une fin de non-recevoir. L'intéressé a justifié son attitude par l'impossibilité pratique d'obtenir une aide de la police. Comme on l'a vu plus haut (consid. 4.1), quand bien même il en aurait été ainsi au moment de son départ, la situation a cependant évolué depuis lors, et il est improbable que le recourant ne puisse, dans le cas d'une éventuelle menace concrète ou agression, obtenir l'aide des autorités.</w:t>
      </w:r>
    </w:p>
    <w:p>
      <w:r>
        <w:rPr>
          <w:b/>
        </w:rPr>
        <w:t>E. 4.4</w:t>
      </w:r>
    </w:p>
    <w:p>
      <w:r>
        <w:t>Il s'ensuit que l'intéressé n'a pas été persécuté en raison de son homosexualité, et ne court pas, en cas de retour, un risque sérieux de l'être.</w:t>
      </w:r>
    </w:p>
    <w:p>
      <w:r>
        <w:rPr>
          <w:b/>
        </w:rPr>
        <w:t>E. 5</w:t>
      </w:r>
    </w:p>
    <w:p>
      <w:r>
        <w:t>Le recourant fait valoir un danger de représailles provenant de la bande criminelle dont il a permis l'arrestation de certains des membres, lors de sa collaboration avec la police de C._______, en 2008-2009. Le Tribunal observe cependant qu'il s'agit, là aussi, de menaces provenant de tiers ; en conséquence, les critères rappelés ci-dessus (consid. 4.3) s'appliquent également. Bien qu'il fasse valoir, de manière générale, l'influence du crime organisé sur la police serbe, et globalement au sein de l'Etat (cf. audition du 4 novembre 2011, questions 41-42), il apparaît, là encore, que l'intéressé n'a pas tenté de demander protection aux autorités, sinon de manière informelle. Il n'a donc pas fait valoir d'éléments suffisants pour permettre au Tribunal de retenir une absence de protection adéquate, au sens de la jurisprudence. En outre, selon les dires de l'intéressé, il a fait l'objet de menaces téléphoniques anonymes, à quelques reprises, sur un laps de temps de plusieurs mois et a été pris à partie par un inconnu, dans un établissement public de C._______ ; ces menaces très imprécises ne se sont cependant jamais concrétisées, si bien qu'il y a lieu de douter de leur sérieux. Quoiqu'il en soit, cinq ans après les faits, il apparaît invraisemblable que le recourant puisse encore se trouver en danger en raison de cette affaire.</w:t>
      </w:r>
    </w:p>
    <w:p>
      <w:r>
        <w:rPr>
          <w:b/>
        </w:rPr>
        <w:t>E. 6.1</w:t>
      </w:r>
    </w:p>
    <w:p>
      <w:r>
        <w:t>L'intéressé a enfin fait valoir sa conversion à l'islam et les dangers qui pourraient en découler pour lui, dans la mesure où elle serait connue en Serbie. Cet développement étant intervenu après le dépôt de la demande d'asile en Suisse, sans être le prolongement d'une conviction du recourant déjà affichée en Serbie, il ne peut entraîner l'octroi de l'asile, mais uniquement permettre la reconnaissance de la qualité de réfugié (art. 3 al. 4 LAsi).</w:t>
      </w:r>
    </w:p>
    <w:p>
      <w:r>
        <w:rPr>
          <w:b/>
        </w:rPr>
        <w:t>E. 6.2</w:t>
      </w:r>
    </w:p>
    <w:p>
      <w:r>
        <w:t>Bien que la loi et la constitution serbes garantissent la liberté religieuse, il est de fait que les autorités favorisent l'Eglise orthodoxe, qui dispose d'un statut particulier et du soutien de l'Etat, les autres confessions reconnues (catholique, protestante, musulmane et juive) ne disposant pas de la même liberté d'expression (US State Department, International Religious Freedom Report for 2012 - Serbia). S'agissant des Musulmans, ils font certes l'objet de discriminations dans la vie quotidienne, et il arrive que des déprédations soit commises contre leurs lieux de culte, et que des responsables religieux soient pris à partie. Toutefois, la situation s'est améliorée durant les dernières années, ces incidents se raréfiant et les autorités manifestant plus d'ouverture envers les demandes de la communauté musulmane, bien que la division de celle-ci en deux organisations rivales ne favorise pas les progrès espérés (cf. Helsinki Committee for Human Rights in Serbia, Populism : Entropy of Democracy, p. 227-237, Belgrade 2013).</w:t>
      </w:r>
    </w:p>
    <w:p>
      <w:r>
        <w:rPr>
          <w:b/>
        </w:rPr>
        <w:t>E. 6.3</w:t>
      </w:r>
    </w:p>
    <w:p>
      <w:r>
        <w:t>Dans ce contexte, il n'y a pas lieu d'admettre que A._______ soit exposé à des risques concrets et immédiats en raison de sa conversion. Il aurait certes reçu pour cette raison diverses menaces anonymes par lettre ou téléphone, et son cas aurait été évoqué dans certains médias (dont l'ambassade n'a pu cependant retrouver la trace) ; rien n'atteste en revanche que la banderole apparue lors du match du 23 avril 2011 le concerne personnellement. En l'espèce, l'intéressé ne court pas de risques sérieux du fait de l'Etat. Par ailleurs, aucun élément solide ne permet de retenir, comme l'a également relevé l'ambassade, qu'il soit exposé à davantage que des manifestations d'animosité personnelle, contre lesquelles il lui incombera, le cas échéant, de demander l'aide des autorités ; les considérations relatives à la persécution par des tiers, exposées plus haut, restent ici applicables.</w:t>
      </w:r>
    </w:p>
    <w:p>
      <w:r>
        <w:rPr>
          <w:b/>
        </w:rPr>
        <w:t>E. 6.4</w:t>
      </w:r>
    </w:p>
    <w:p>
      <w:r>
        <w:t>Dès lors, la conversion du recourant à l'islam n'est pas de nature à l'exposer à la persécution en cas de retour en Serbie.</w:t>
      </w:r>
    </w:p>
    <w:p>
      <w:r>
        <w:rPr>
          <w:b/>
        </w:rPr>
        <w:t>E. 7.1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LEtr (RS 142.20).</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le Tribunal doit porter son examen.</w:t>
      </w:r>
    </w:p>
    <w:p>
      <w:r>
        <w:rPr>
          <w:b/>
        </w:rPr>
        <w:t>E. 9.2</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consid. 5b p. 157s.)..</w:t>
      </w:r>
    </w:p>
    <w:p>
      <w:r>
        <w:rPr>
          <w:b/>
        </w:rPr>
        <w:t>E. 9.3</w:t>
      </w:r>
    </w:p>
    <w:p>
      <w:r>
        <w:t>En l'espèce, l'intéressé est atteint de plusieurs troubles psychiques, à savoir des manifestations narcissiques, une forte anxiété et un état dépressif récurrent d'intensité moyenne. Si ces troubles ne sont pas d'une grande gravité intrinsèque, ils s'accompagnent cependant d'un risque suicidaire persistant, qui s'est d'ailleurs déjà concrétisé en novembre 2011. La thérapeute en charge du cas insiste d'ailleurs, dans son rapport du 30 octobre 2013, sur la persistance de ce risque, le pronostic restant peu favorable. Le cas du recourant ne requiert certes pas un traitement particulièrement complexe, puisqu'il consiste en entretiens psychothérapeutiques mensuels et prise de médicaments ; il pourrait donc être, selon toute probabilité, administré en Serbie. Toutefois, le problème n'est toutefois pas uniquement, ni même essentiellement, celui de l'accès pratique aux soins ; en effet, c'est le simple fait de son retour en Serbie qui est susceptible de réactiver les risques suicidaires. Le Tribunal considère certes qu'il appartient, en temps ordinaire, aux thérapeutes de prendre les mesures adéquates pour préparer le requérant débouté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hypothétiquement susceptible d'avoir des conséquences sur le plan psychique. En l'espèce, cependant, il ne s'agit pas seulement de suites hypothétiques, puisque l'intéressé est déjà passé à l'acte ; de plus, son état apparaît chronique, puisque n'ayant guère progressé vers la guérison. Il faut également relever que les tendances suicidaires constatées chez lui ne sont pas réactionnelles à la proche perspective d'un retour, donc par essence temporaires, mais sont apparues depuis plusieurs années déjà, et semblent s'être maintenant enracinées. De telles tendances ne pourraient que s'intensifier à court délai dans le cas, hautement probable, où le recourant devrait affronter, une fois revenu en Serbie, d'autres vexations provoquées par son orientation sexuelle.</w:t>
      </w:r>
    </w:p>
    <w:p>
      <w:r>
        <w:rPr>
          <w:b/>
        </w:rPr>
        <w:t>E. 9.4</w:t>
      </w:r>
    </w:p>
    <w:p>
      <w:r>
        <w:t>Dans cette mesure, contrairement à ce que préconise l'ODM dans sa réponse, une simple préparation ayant pour objectif de simplifier le retour et la réinstallation dans le pays d'origine n'est pas suffisant : en effet, il apparaît que ce retour, quelles que soient les précautions prises, entraînerait aujourd'hui pour l'intéressé un trop grand danger de décompensation grave, aux suites potentiellement irrémédiables. D'éventuelles mesures d'accompagnement ne sont ainsi pas de nature, en l'état actuel du recourant, à amoindrir ces risques. Le Tribunal ne peut donc écarter sans raisons solides les avertissements de la spécialiste en charge du recourant, qui mettent en lumière les risques très sérieux, voire vitaux, qu'entraînerait l'exécution du renvoi.</w:t>
      </w:r>
    </w:p>
    <w:p>
      <w:r>
        <w:rPr>
          <w:b/>
        </w:rPr>
        <w:t>E. 9.5</w:t>
      </w:r>
    </w:p>
    <w:p>
      <w:r>
        <w:t>Dans ce contexte, l'exécution du renvoi doit donc être considérée comme inexigible. Dès lors, au vu de la conjugaison de facteurs défavorables affectant l'intéressé, il y a lieu de prononcer son admission provisoire ; celle-ci, en principe d'une durée d'un an (art. 85 al. 1 LEtr), renouvelable si nécessaire, apparaît mieux à même d'écarter les risques sérieux qu'il court actuellement en cas de retour.</w:t>
      </w:r>
    </w:p>
    <w:p>
      <w:r>
        <w:rPr>
          <w:b/>
        </w:rPr>
        <w:t>E. 10</w:t>
      </w:r>
    </w:p>
    <w:p>
      <w:r>
        <w:t>En conséquence, le recours doit être admis, en tant qu'il conclut au prononcé de l'admission provisoire, et la décision attaquée annulée sur ce point. L'autorité de première instance est donc invitée à prononcer l'admission provisoire du recourant. La situation concrète de ce dernier est susceptible d'être revue, d'ici à douze mois, et de faire l'objet d'une nouvelle appréciation, en fonction de l'évolution de son état.</w:t>
      </w:r>
    </w:p>
    <w:p>
      <w:r>
        <w:rPr>
          <w:b/>
        </w:rPr>
        <w:t>E. 11.1</w:t>
      </w:r>
    </w:p>
    <w:p>
      <w:r>
        <w:t>L'assistance judiciaire partielle ayant été accordée, il n'est pas perçu de frais (art. 65 al. 1 PA).</w:t>
      </w:r>
    </w:p>
    <w:p>
      <w:r>
        <w:rPr>
          <w:b/>
        </w:rPr>
        <w:t>E. 11.2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11.3</w:t>
      </w:r>
    </w:p>
    <w:p>
      <w:r>
        <w:t>En l'espèce, le Tribunal fixe le montant de l'indemnité sur la base des notes de frais des 25 et 26 juin 2014 (art. 14 al. 2 du règlement du 11 décembre 2006 concernant les frais, dépens et indemnités fixés par le Tribunal administratif fédéral [FITAF, RS 173.320.2]). La première note fait état d'un montant de 4582,25 francs (4079,90 francs d'honoraires, 163,20 francs de frais, plus la TVA par 8%) pour 22h40 de travail ; la seconde retient 1181,70 francs (1165,50 francs d'honoraires et 16,20 francs de frais, TVA incluse) pour 3h05 de travail. S'agissant de la première note, le Tribunal considère comme injustifié d'inclure, dans le montant des dépens, les frais entraînés par la disparition du recourant et les recherches consécutives (lettres de rappel, dépôt d'un nouveau rapport médical), qu'il a causés par son propre comportement (points de la note d'honoraires à partir du 19 avril 2013) ; par ailleurs, certains frais (lettres de rappel, demandes de prolongation, examen d'ordonnances du Tribunal) n'ont pas à être compensés dans la mesure indiquée. Une durée de travail de 20h30 apparaît dès lors comme suffisante à l'accomplissement du mandat, au tarif horaire indiqué de 180 francs. Quant à la seconde note, il n'y a pas lieu d'y inclure les dépenses découlant de la constitution d'un nouveau mandataire (première conférence avec le client), ni des échanges de correspondance dont le Tribunal ignore la nature, ni les frais découlant du dépôt d'un rapport médical déjà connu du premier mandataire. Le Tribunal retient donc une durée de travail de 1h20 comme nécessaire, au tarif horaire indiqué de 350 francs. Dès lors, le montant retenu pour la première note est de 4148,40 francs (3690 francs d'honoraires, 163,20 de frais, plus la TVA par 8%). Pour la seconde, le montant retenu est de 486,20 francs (470 francs d'honoraires, plus 16,20 de frais, TVA incluse). Le total des deux notes est donc de 4634,60 francs. L'admission du recours étant partielle, les dépens sont arrêtés à la moitié de cette somme, soit 2317,30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