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E-1691/2017 vom 5. April 2017</w:t>
      </w:r>
    </w:p>
    <w:p>
      <w:r>
        <w:t>Bundesverwaltungsgericht, 2017-04-05, DE</w:t>
      </w:r>
    </w:p>
    <w:p>
      <w:r>
        <w:rPr>
          <w:b/>
        </w:rPr>
        <w:t xml:space="preserve">Quelle: </w:t>
      </w:r>
      <w:r>
        <w:t>https://mcp.opencaselaw.ch/entscheid/bvger_E-1691_2017</w:t>
      </w:r>
    </w:p>
    <w:p>
      <w:r>
        <w:t>FR: TAF E-1691/2017 du 5 avril 2017</w:t>
      </w:r>
    </w:p>
    <w:p>
      <w:r>
        <w:t>IT: TAF E-1691/2017 del 5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Insoweit der Beschwerdeführer beantragt, es sei die vorinstanzliche Verfügung auch unter dem Aspekt der Unzulässigkeit der Wegweisung zu prüfen, ist auf die Beschwerde nicht einzutreten (Beschwerde S. 7). Der Wegweisungsvollzug wurde bereits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Der Beschwerdeführer führt aus, die Vorinstanz habe in Verletzung des Untersuchungsgrundsatzes nach Art. 12 VwVG in Verbindung mit Art. 6 AsylG keine Abklärung der für und gegen ihn sprechenden Sachverhaltselemente vorgenommen. Es seien stattdessen nur die angeblich gegen ihn sprechenden Elemente erwähnt. Geschilderte Glaubwürdigkeitselemente seien unzulässigerweise nicht gewürdigt worden. Hiermit verletze die Vorinstanz ihre Pflicht zur vollständigen und richtigen Abklärung des rechtserheblichen Sachverhaltes.</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 Ferner muss - abgeleitet von Art. 29 VwVG - die Begründung der Behörde so abgefasst sein, dass die oder der Betroffene den Entscheid gegebenenfalls sachgerecht anfechten kann. Sie muss kurz die wesentlichen Überlegungen nennen, von denen sich die Behörde hat leiten lassen und auf die sich der Entscheid stützt. Nicht erforderlich ist, dass sich die Begründung mit allen Parteistandpunkten einlässlich auseinandersetzt und jedes einzelne Vorbringen ausdrücklich widerlegt (vgl. BGE 136 I 184 E. 2.2.1).</w:t>
      </w:r>
    </w:p>
    <w:p>
      <w:r>
        <w:rPr>
          <w:b/>
        </w:rPr>
        <w:t>E. 3.3</w:t>
      </w:r>
    </w:p>
    <w:p>
      <w:r>
        <w:t>Die pauschal getätigte Rüge der rechtsfehlerhaften Sachverhaltsfeststellung geht fehl. Es ist festzustellen, dass im vorliegenden Verfahren auch eine Verletzung der Begründungspflicht nicht ersichtlich ist, weil sich die Vorinstanz mit den entscheidwesentlichen Vorbringen auseinandergesetzt hat. Die Verfügung ist ausreichend begründet, zumal sie sich nicht mit jedem einzelnen Vorbringen auseinandersetzen muss. Dass eine sachgerechte Anfechtung möglich war, zeigt die Beschwerde selbst. Wie im Folgenden zu zeigen sein wird, sind auch die Beweiswürdigung und die Rechtsanwendung der Vorinstanz nicht zu beanstanden.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4.4</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5.1</w:t>
      </w:r>
    </w:p>
    <w:p>
      <w:r>
        <w:t>Der Beschwerdeführer macht im Wesentlichen geltend Eritrea illegal verlassen zu haben, weil die Verwaltung seiner Mutter ein für ihn bestimmtes Aufgebot für den Militärdienst überbracht und ihr mitgeteilt habe, dass er deshalb gesucht werde. Im Übrigen könne man in Eritrea nicht arbeiten oder nach Hause gehen.</w:t>
      </w:r>
    </w:p>
    <w:p>
      <w:r>
        <w:rPr>
          <w:b/>
        </w:rPr>
        <w:t>E. 5.2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einzig aufgrund ihrer illegalen Ausreise aus Eritrea eine flüchtlingsrechtlich relevante Verfolgung drohe. Nicht asylrelevant ist ferner die Möglichkeit, dass jemand nach der Rückkehr in den Nationaldienst eingezogen wird. Die Vorinstanz stützt sich auf dieses neue Urteil, was nicht zu beanstanden ist. Nach diesem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5.3</w:t>
      </w:r>
    </w:p>
    <w:p>
      <w:r>
        <w:t>Was die Vorfluchtgründe anbelangt, hat die Vorinstanz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asylrelevant und welche unglaubhaft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Es liegen mithin keine Anknüpfungspunkte im Sinne der neuen Rechtsprechung vor. So hat die Vorinstanz zutreffend festgestellt, dass erschwerte Lebensumstände für sich alleine keine Asylrelevanz nach Art. 3 AsylG zu entfalten vermögen. Was die Vorladung beziehungsweise die behördliche Suche anbelangt, steht diese im Mittelpunkt der Fluchtgeschichte. Bereits der Umstand, wie der Beschwerdeführer hiervon erfahren haben will, ist jedoch stereotyp, mithin unglaubhaft. Rein die Tatsache, dass jemand im militärdienstpflichtigen Alter war, entbindet nicht davon, eine behördliche Suche beziehungsweise Vorladung zu beweisen oder mindestens glaubhaft zu machen (Art. 7 AsylG). Der Verweis auf Berichte der Schweizerischen Flüchtlingshilfe ändert hieran ebenso wenig wie die in Aussicht gestellte Vorladung. Der Beschwerdeführer kann zu dieser auch keine Zeitangaben machen und sagt, er habe sich nicht für das Schreiben interessiert und nur darin gelesen, dass er per sofort von der Verwaltung gesucht werde (z. B. SEM-Akten, A18, S. 19, F217). Es ist - entgegen den Einwänden auf Beschwerdeebene - der Vorinstanz darin beizupflichten, dass die Aussagen zur Vorladung substanzarm sowie oberflächlich ausgefallen sind und auf ausweichende Antworten schliessen lassen. Keine nachvollziehbare Erklärung ist sodann ersichtlich, weshalb der Beschwerdeführer erst jetzt die Vorladung nachreichen will, nachdem sie sich angeblich stets zu Hause befunden haben soll. Schliesslich erschöpfen sich die Schilderungen in Eindimensionalität, mithin sind diese zu oberflächlich ausgefallen, um den Anforderungen gerecht zu werden, die an das Vorliegen eines zusätzlichen Anknüpfungspunkts gestellt werden. Die Beschwerdeausführungen sind nicht geeignet, am Beweisergebnis etwas zu ändern. Aufgrund der Unglaubhaftigkeit gehen auch die Beschwerdeausführungen zum Urteil EMARK 2006/3 (Entscheidungen und Mitteilungen der Schweizerischen Asylrekurskommission) ins Leere. Nachdem der Beschwerdeführer neben der illegalen Ausreise keine zusätzlichen Anknüpfungspunkte für eine Verschärfung seines Profils zu belegen oder mindestens glaubhaft zu machen vermag, lässt sich keine asylrechtlich beachtliche Verfolgung annehmen. Aufgrund der Bestätigung der Praxisänderung der Vorinstanz im oben genannten Urteil ist hier auf die Beschwerdeausführungen betreffend die illegale Ausreise nicht weiter einzugehen. Aus demselben Grund sind die entsprechenden Rügen unbegründet. Indem die Vorinstanz eine vorläufige Aufnahme anordnete, hat sie den Umständen des Einzelfalls ausreichend Rechnung getragen. Um Wiederholungen zu vermeiden, ist auf das erwähnte Koordinationsurteil des Bundesverwaltungsgerichts sowie die zutreffenden Erwägungen der Vorinstanz zu verweisen, die zu Recht die Flüchtlingseigenschaft verneint und das Asylgesuch des Beschwerdeführers abgelehnt hat.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Die Beschwerde ist abzuweisen, soweit darauf einzutreten ist.</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