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E-1690/2013 vom 29. Mai 2013</w:t>
      </w:r>
    </w:p>
    <w:p>
      <w:r>
        <w:t>Bundesverwaltungsgericht, 2013-05-29, DE</w:t>
      </w:r>
    </w:p>
    <w:p>
      <w:r>
        <w:rPr>
          <w:b/>
        </w:rPr>
        <w:t xml:space="preserve">Quelle: </w:t>
      </w:r>
      <w:r>
        <w:t>https://mcp.opencaselaw.ch/entscheid/bvger_E-1690_2013</w:t>
      </w:r>
    </w:p>
    <w:p>
      <w:r>
        <w:t>FR: TAF E-1690/2013 du 29 mai 2013</w:t>
      </w:r>
    </w:p>
    <w:p>
      <w:r>
        <w:t>IT: TAF E-1690/2013 del 29 maggio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Die Beschwerde ist frist- und formgerecht eingereicht (vgl. Art. 21 VwVG letzter Teilsatz).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mithin einzutreten.</w:t>
      </w:r>
    </w:p>
    <w:p>
      <w:r>
        <w:rPr>
          <w:b/>
        </w:rPr>
        <w:t>E. 1.3</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 die zu beurteilende Sachlage ist rechtsge­nüglich erstellt - darüber befunden werden kann.</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Artikel 12, 19, 20, 41 Abs. 2, 52 und 68 AsylG in der bisherigen Fassung des Gesetzes gelten. Wird demnach im vorliegenden Beschwerdeverfahren auf das AsylG oder Verordnungstexte verwiesen, bezieht sich dies stets auf die bisherige Fassung der entsprechenden Bestimmungen.</w:t>
      </w:r>
    </w:p>
    <w:p>
      <w:r>
        <w:rPr>
          <w:b/>
        </w:rPr>
        <w:t>E. 4.1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4.2</w:t>
      </w:r>
    </w:p>
    <w:p>
      <w:r>
        <w:t>Vorliegend sah sich die Botschaft in Khartoum nicht in der Lage, eine persönliche Anhörung des Beschwerdeführers durchzuführen. Das BFM begründete diesen Verzicht in der Verfügung vom 15. Oktober 2012 mit dem begrenzten Personalbestand der Botschaft sowie den fehlenden Voraussetzungen im sicherheitstechnischen und räumlichen Bereich. Das Bundesamt ersuchte den Beschwerdeführer mit Schreiben vom 6. August 2012 um Einreichung einer ergänzenden Stellungnahme zwecks Vervollständigung des rechtserheblichen Sachverhaltes. Der Beschwerdeführer nahm in der Folge mit Eingabe vom 5. September 2012 (Eingang bei der Botschaft in Khartoum) ausführlich zu den gestellten Fragen Stellung und machte persönliche, auf ihn konkret bezogene Angaben. Vorliegend erhielt der Beschwerdeführer somit rechtsgenügend Gelegenheit, seine Asylgründe darzulegen und bei der Erhebung und Ergänzung des massgebenden Sachverhalts mitzuwirken. Die Schweizerische Botschaft verzichtete darauf, in einem ergänzenden Bericht ihre Beurteilung des Asylgesuchs darzulegen, und überwies die Unterlagen dem BFM ohne Kommentar.</w:t>
      </w:r>
    </w:p>
    <w:p>
      <w:r>
        <w:rPr>
          <w:b/>
        </w:rPr>
        <w:t>E. 5</w:t>
      </w:r>
    </w:p>
    <w:p>
      <w:r>
        <w:t>Das Bundesamt kann ein im Ausland gestelltes Asylgesuch ablehnen, wenn die asylsuchende Person keine Verfolgung glaubhaft machen kann oder ihr die Aufnahme in einem Drittstaat zugemutet werden kann (vgl. Art. 3, Art. 7 und Art. 52 Abs. 2 AsylG). Nach Art. 20 Abs. 2 AsylG be­willigt das Bundesamt einer asylsuchenden Person die Einreise in die Schweiz zur Abklärung des Sachverhaltes, wenn ihr nicht zugemutet wer­den kann, im Wohnsitz- oder Aufenthaltsstaat zu bleiben oder in ein ande­res Land auszureisen (vgl. BVGE 2007/19 E. 3.2; BVGE 2011/10 E. 3).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Entscheidungen und Mitteilungen der Schweizerischen Asylrekurskommission [EMARK] 1997 Nr. 15 E. 2c S. 130; 2004 Nr. 20 E. 3.b), mithin die Prüfung der Fragen, ob eine Gefährdung im Sinne von Art. 3 AsylG glaubhaft gemacht wird und ob der Verbleib am Aufenthaltsort für die Dauer der Sachverhaltsabklärung zugemutet werden kann (vgl. BVGE 2011/10 E. 3.3, mit weiteren Hinweisen). 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6.1</w:t>
      </w:r>
    </w:p>
    <w:p>
      <w:r>
        <w:t>Vorliegend gelangt das Bundesverwaltungsgericht nach eingehender Prüfung der Akten in Übereinstimmung mit dem BFM zum Schluss, dass die geltend gemachten Vorbringen des Beschwerdeführers nicht a priori unglaubhaft erscheinen und darauf schliessen lassen, dass er in seinem Heimatstaat Eritrea ernstzunehmende Schwierigkeiten mit den heimatlichen Behörden gehabt hat. Ob er bei einer allfälligen Rückkehr nach Eritrea einer flüchtlingsrechtlich relevanten Gefährdung ausgesetzt sein könnte, kann vorliegend dennoch offengelassen werden, da er den zusätzlichen Schutz der Schweiz gemäss Art. 52 Abs. 2 AsylG nicht benötigt, weil es ihm - wie im Nachfolgenden aufzuzeigen sein wird - trotz der zugestandenermassen nicht einfachen Bedingungen für eritreische Flüchtlinge im Sudan zuzumuten ist, im Zufluchtsland Sudan zu verbleiben.</w:t>
      </w:r>
    </w:p>
    <w:p>
      <w:r>
        <w:rPr>
          <w:b/>
        </w:rPr>
        <w:t>E. 6.2</w:t>
      </w:r>
    </w:p>
    <w:p>
      <w:r>
        <w:t>Der Beschwerdeführer befindet sich eigenen Angaben zufolge seit Mitte Juni 2009 im Sudan (Mitte Juni bis August 2009 im Flüchtlingslager Shegerab, danach Aufenthalt in Khartoum). Aufgrund der Angaben in seinem schriftlichen Asylgesuch, seinen ergänzenden Ausführungen vom 5. September 2012 und des - zwar lediglich in qualitativ schlechter Kopie vorliegenden - Flüchtlingsausweises ist davon auszugehen, dass er durch das UNHCR im Sudan als Flüchtling registriert worden ist. Folglich verfügt er über die erforderliche temporäre Bewilligung, um sich im Sudan aufhalten zu können, und geniesst weitgehend Schutz vor einer Abschiebung in sein Heimatland Eritrea. Mit diesem Schutz ist allerdings nicht ein freies Aufenthaltsrechts für das ganze Land verbunden. Es ist jedoch davon auszugehen, dass der Beschwerdeführer im Sudan Schutz gefunden und die Möglichkeit hat, sich in das ihm zugewiesene Flüchtlingslager Shegerab zurückzugeben, sofern er einen weiteren Aufenthalt in der Region Khartoum nicht mehr in Betracht zieht. Obschon unlängst von vorkommenden Deportationen von Eritreern in den Heimatstaat berichtet wurde (vgl. Urteil des Bundesverwaltungsgerichts E-1452/2012 vom 15. Juni 2012 mit weiteren Hinweisen, sowie UNHCR, "UNHCR deeply concerned by deportation of Eritreans from Sudan", vom 26. Juli 2011), ist gleichwohl gemäss gesicherten Erkenntnissen das Risiko einer Verschleppung für Eritreer, die im Sudan vom UNHCR als Flüchtlinge anerkannt sind, gering, da die sudanesischen Behörden zwar tatsächlich teilweise eritreische Asylsuchende sowie Flüchtlinge deportieren, diese Rückführungen indessen nicht flächendeckend erfolgen (vgl. statt vieler das Urteil des Bundesverwaltungsgerichts D 6054/2011 vom 24. April 2012). Den Akten sind denn auch keine Hinweise zu entnehmen, die auf ein besonderes Profil des Beschwerdeführers, nämlich das Profil einer Person, an deren Auslieferung die eritreische Regierung besonders interessiert wäre, schliessen liessen. Sodann ist, wenngleich nicht abzusprechen ist, dass die Lebensbedingungen in Khartoum, insbesondere für den Beschwerdeführer angesichts seiner (...)behinderung, schwierig sind, nicht anzunehmen, dass der alleinstehende Beschwerdeführer im Sudan den Lebensunterhalt für sich alleine nicht mehr wird bestreiten können, denn eigenen Angaben zufolge lebt er einerseits bereits seit 2009 im Sudan, andererseits besteht für ihn - wenn auch unter erschwerten Bedingungen - die Möglichkeit, (...) seinen Unterhalt zu bestreiten, beziehungsweise es ist nicht davon auszugehen, dass er inskünftig nicht mehr mit der Unterstützung der eritreischen Diaspora, (...), rechnen kann. Auch der geltend gemachte Umstand, er habe aufgrund seiner religiösen Zugehörigkeit Behelligungen erlitten, vermag für sich alleine keine Asylrelevanz zu entfalten. Auch das Ersuchen des Beschwerdeführers an die Schweiz um die Gewährung von medizinischer Unterstützung genügt als Grundlage für eine Einreisebewilligung nicht. Schliesslich ist festzustellen, dass der Beschwerdeführer über keine in der Schweiz lebenden Angehörigen verfügt. Demnach sind die Voraussetzungen für einen Familiennachzug aufgrund fehlender in der Schweiz lebender Familienangehörigen nicht erfüllt, weshalb Art. 51 AsylG vorliegend nicht zur Anwendung kommt.</w:t>
      </w:r>
    </w:p>
    <w:p>
      <w:r>
        <w:rPr>
          <w:b/>
        </w:rPr>
        <w:t>E. 6.3</w:t>
      </w:r>
    </w:p>
    <w:p>
      <w:r>
        <w:t>Aufgrund dieser Erwägungen erscheint es für den Beschwerdefüh­rer objektiv nicht unzumutbar, den im Sudan gegenüber einer allfälligen Verfolgungsgefahr in seinem Heimatstaat Eritrea bestehenden Schutz weiterhin in Anspruch zu nehmen. Eine Schutzgewährung durch die Schweiz er­scheint somit unter Berücksichtigung aller wesentlichen Umstände, wel­che mit dem Aufenthalt des Beschwerdeführers im Sudan und seinem dortigen Status als vom UNHCR registrierter Flüchtling verbunden sind, nicht erforderlich. Zusammenfassend ergibt sich, dass das BFM zu Recht und mit weitgehend zutreffender Begründung feststellte, eine Abwägung der Gesamtumstände im Sinne von Art. 52 Abs. 2 AsylG führe zum Schluss, dass dem Beschwerdeführer ein Verbleib im Sudan zuzumuten ist. Unter diesen Umständen hat das Bundesamt zu Recht die Erteilung der Einreisebewilligung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