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E-1688/2022 vom 13. April 2022</w:t>
      </w:r>
    </w:p>
    <w:p>
      <w:r>
        <w:t>Bundesverwaltungsgericht, 2022-04-13, DE</w:t>
      </w:r>
    </w:p>
    <w:p>
      <w:r>
        <w:rPr>
          <w:b/>
        </w:rPr>
        <w:t xml:space="preserve">Quelle: </w:t>
      </w:r>
      <w:r>
        <w:t>https://mcp.opencaselaw.ch/entscheid/bvger_E-1688_2022</w:t>
      </w:r>
    </w:p>
    <w:p>
      <w:r>
        <w:t>FR: TAF E-1688/2022 du 13 avril 2022</w:t>
      </w:r>
    </w:p>
    <w:p>
      <w:r>
        <w:t>IT: TAF E-1688/2022 del 13 aprile 2022</w:t>
      </w:r>
    </w:p>
    <w:p>
      <w:pPr>
        <w:pStyle w:val="Heading2"/>
      </w:pPr>
      <w:r>
        <w:t>Regeste</w:t>
      </w:r>
    </w:p>
    <w:p>
      <w:r>
        <w:t>Nichteintreten auf Asylgesuch und Wegweisung (Dublin-Verfahren)</w:t>
      </w:r>
    </w:p>
    <w:p>
      <w:pPr>
        <w:pStyle w:val="Heading2"/>
      </w:pPr>
      <w:r>
        <w:t>Erwägungen</w:t>
      </w:r>
    </w:p>
    <w:p>
      <w:r>
        <w:rPr>
          <w:b/>
        </w:rPr>
        <w:t>E. 18</w:t>
      </w:r>
    </w:p>
    <w:p>
      <w:r>
        <w:t>Oktober 2021 E. 9.2 sowie E- 962/2019 vom 17. Dezember 2019 E. 6.3, vgl. auch Urteil D-2846/2020 vom 16. Juli 2020 E. 6.1),</w:t>
      </w:r>
    </w:p>
    <w:p>
      <w:r>
        <w:t>E-1688/2022 Seite 6 dass der Wunsch des Beschwerdeführers, in der Schweiz leben zu wollen, da er hier Bekannte habe und gemäss seiner Ansicht eher eine Arbeit finden sowie für die im Heimatland verbliebene Familie sorgen könne (vgl. Beschwerde S. 2), zwar nachvollziehbar ist, aber nichts an der Zuständig- keit Italiens zu ändern vermag,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der Beschwerdeführer mit seinem Vorbringen, die Situation in Italien sei mangelhaft, die Behandlung sei schlecht und die Arbeitsmöglichkeiten würden fehlen, implizit die Anwendung von Art. 17 Abs. 1 Dublin-III-VO res- pektive Art. 29a Abs. 3 AsylV 1 fordert,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italienischen Behörden würden sich weigern, ihn aufzunehmen und seinen Antrag auf internationalen Schutz unter Einhaltung der Regeln der erwähnten Richtlinien zu prüfen,</w:t>
      </w:r>
    </w:p>
    <w:p>
      <w:r>
        <w:t>E-1688/2022 Seite 7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der Beschwerdeführer – wie bereits beim Dublin-Gespräch – in der Beschwerde keine gesundheitlichen Probleme geltend macht, dass folglich kein Anlass für einen zwingenden Selbsteintritt ersichtlich ist, dass dem SEM bei der Anwendung von Art. 29a Abs. 3 AsylV 1 volles Er- messen zukommt, wohingegen jenes des Bundesverwaltungsgerichts ge- mäss Art. 106 Abs. 1 AsylG diesbezüglich beschränkt ist (vgl. BVGE 2015/9 E. 7 f.), dass den Akten keine Hinweise auf eine gesetzeswidrige Ermessensaus- übung (vgl. Art. 106 Abs. 1 Bst. a AsylG) durch die Vorinstanz zu entneh- men sind, dass das Bundesverwaltungsgericht sich unter diesen Umständen weiterer Ausführungen zur Frage eines Selbsteintritts enthält, dass nach dem Gesagten kein Grund für die Ausübung des Selbsteintritts- rechts gemäss Art. 17 Dublin-III-VO respektive Art. 29a Abs. 3 AsylV 1 ersichtlich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schliesslich der Vollständigkeit halber darauf hinzuweisen ist, dass allfällige Verzögerungen bei der Überstellung nach Italien aufgrund der herrschenden Situation im Zusammenhang mit der COVID-19-Pandemie – gemäss aktuellem Kenntnisstand – lediglich temporäre Vollzugshinder- nisse darstellen und am Ausgang des vorliegenden Verfahrens nichts zu ändern vermögen (vgl. Urteil des BVGer D-139/2020 vom 19. Juni 2020 E. 9.6 m.w.H.),</w:t>
      </w:r>
    </w:p>
    <w:p>
      <w:r>
        <w:t>E-1688/2022 Seite 8 dass der eventualiter gestellte Rückweisungsantrag vom Beschwerde- führer nicht begründet worden ist und den Akten keine Gründe für eine Kassation der angefochtenen Verfügung zu entnehmen sind, dass die Beschwerde nach dem Gesagten abzuweisen ist, dass der am 8. April 2022 verfügte Vollzugsstopp mit dem vorliegenden Urteil dahinfällt, dass mit dem Entscheid in der Sache auch die Anträge auf Gewährung der aufschiebenden Wirkung der Beschwerde und auf Befreiung von der Kostenvorschusspflicht gegenstandlos werden, dass das mit der Beschwerde gestellte Gesuch um Gewährung der unent- geltlichen Rechtspflege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E-1688/2022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