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E-1687/2020 vom 31. Januar 2022</w:t>
      </w:r>
    </w:p>
    <w:p>
      <w:r>
        <w:t>Bundesverwaltungsgericht, 2022-01-31, DE</w:t>
      </w:r>
    </w:p>
    <w:p>
      <w:r>
        <w:rPr>
          <w:b/>
        </w:rPr>
        <w:t xml:space="preserve">Quelle: </w:t>
      </w:r>
      <w:r>
        <w:t>https://mcp.opencaselaw.ch/entscheid/bvger_E-1687_2020</w:t>
      </w:r>
    </w:p>
    <w:p>
      <w:r>
        <w:t>FR: TAF E-1687/2020 du 31 janvier 2022</w:t>
      </w:r>
    </w:p>
    <w:p>
      <w:r>
        <w:t>IT: TAF E-1687/2020 del 31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E-1687/2020 Seite 5</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ihren ablehnenden Asylentscheid im We- sentlichen mit der mangelnden Glaubhaftigkeit der Vorbringen. Die einge- reichten Beweismittel seien nicht geeignet, die vom Beschwerdeführer be- haupteten illegalen Geldflüsse an Mahinda Rajapakse zur Finanzierung seines Wahlkampfes zu belegen. Somit sei auch der angeblich daraus fol- genden Verfolgung des Beschwerdeführers durch Anhänger Rajapakses sowie dem Interesse des CID an ihm als Kronzeugen in einer Korruptions- ermittlung die Grundlage entzogen. In diesem Zusammenhang erweise sich das vom Beschwerdeführer geschilderte Verhalten nach seiner Befra- gung durch das CID als wenig nachvollziehbar, zumal er sich weder um die Beschaffung der Unterlagen noch um einen Austausch mit seinem ehema- ligen Arbeitgeber bemüht zu haben scheine. Er habe die angebliche Schwarzgeldzahlung für diesen Auftrag selbst abgeholt, weshalb eher da- von auszugehen sei, dass ihm – wie seinem ehemaligen Arbeitgeber auch – aufgrund seiner eigenen Verstrickung in dieses Geschäft vielmehr an dessen Geheimhaltung gelegen haben müsste. Betreffend den geltend gemachten Angriff durch maskierte Männer in der eigenen Druckerei er- gebe sich kein zusammenhängendes Bild. Insbesondere sei nicht nach- vollziehbar, weshalb die bewaffneten und vermummten Personen den Be- schwerdeführer nicht direkt getötet hätten oder weshalb sich diese durch Schreie und herbeieilende Nachbarn von ihrem Vorhaben hätten abbringen lassen sollen.</w:t>
      </w:r>
    </w:p>
    <w:p>
      <w:r>
        <w:t>E-1687/2020 Seite 6</w:t>
      </w:r>
    </w:p>
    <w:p>
      <w:r>
        <w:rPr>
          <w:b/>
        </w:rPr>
        <w:t>E. 3.2</w:t>
      </w:r>
    </w:p>
    <w:p>
      <w:r>
        <w:t>Zur Begründung ihres Rechtsmittels führten die Beschwerdeführenden im Wesentlichen aus, die Vorinstanz gehe zu Unrecht von der Unglaubhaf- tigkeit ihrer Vorbringen aus. Sie hätten glaubhaft dargelegt, dass der Be- schwerdeführer in eine illegale Tätigkeit seines früheren Arbeitsgebers ver- wickelt gewesen und er vom CID aufgeboten worden sei. Der Beschwer- deführer habe über die Machenschaften Auskunft gegeben, weshalb sie letztlich aus Angst vor Verfolgung durch Rajapakses Gefolgsleute geflüch- tet seien. Ihre substanziierten Schilderungen würden eine Abklärungs- pflicht der Vorinstanz hinsichtlich Richtigkeit und Relevanz der vorgebrach- ten Sachverhaltselemente auslösen. Die Vorinstanz spreche den zum Be- weis der geltend gemachten Vorfälle eingereichten Unterlagen ohne über- zeugende Begründung den Beweiswert ab und habe dadurch ihre Begrün- dungspflicht verletzt. Sodann sei naheliegend, dass der Beschwerdeführer sich nach der Befragung durch das CID nicht mit seinem ehemaligen Ar- beitgeber in Verbindung gesetzt habe, zumal er seine Stelle gekündigt und zwischenzeitlich ein Konkurrenzunternehmen aufgebaut habe. Das von der Vorinstanz festgestellte unlogische Verhalten der bewaffneten und ver- mummten Personen, nämlich deren Flucht nach dem Eintreffen der Nach- barn, könne den Beschwerdeführenden nicht angelastet werden. In diesem Zusammenhang sei auch auf die Willkür der mafia-ähnlichen Gruppierun- gen in Sri Lanka zu verweisen. Ausserdem habe die Vorinstanz dem Um- stand nicht Rechnung getragen, dass Mahinda Rajapaksa unterdessen er- neut eine politische Machtposition innehabe. Somit sei die offensichtliche Gefährdung der Beschwerdeführenden infolge der veränderten politischen Lage verkannt worden, weshalb das SEM seine Pflicht zur korrekten und vollständigen Sachverhaltsabklärung verletzt habe. Schliesslich würden sie mehrere Risikofaktoren im Sinn der bundesverwaltungsgerichtlichen Rechtsprechung aufweisen, die ihnen bei einer Rückkehr zum Verhängnis werden könnten.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E-1687/2020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in der Beschwerde erhobenen formellen Rügen erweisen sich als nicht stichhaltig.</w:t>
      </w:r>
    </w:p>
    <w:p>
      <w:r>
        <w:rPr>
          <w:b/>
        </w:rPr>
        <w:t>E. 5.2</w:t>
      </w:r>
    </w:p>
    <w:p>
      <w:r>
        <w:t>Die Beschwerdeführenden erblicken eine Verletzung der Pflicht zur korrekten Sachverhaltsfeststellung darin, dass die Vorinstanz ihre Ausfüh- rungen zum Überfall in der Druckerei als unplausibel qualifiziert hat. Die unterschiedliche Würdigung der entsprechenden Vorbringen begründet je- doch keine Verfahrenspflichtverletzung, sondern bildet Gegenstand der materiellen Prüfung.</w:t>
      </w:r>
    </w:p>
    <w:p>
      <w:r>
        <w:rPr>
          <w:b/>
        </w:rPr>
        <w:t>E. 5.3</w:t>
      </w:r>
    </w:p>
    <w:p>
      <w:r>
        <w:t>Ebenfalls Gegenstand der materiellen Prüfung ist – entgegen der Be- hauptung auf Beschwerdeebene – die Würdigung der eingereichten Be- weismittel. Es ist in diesem Zusammenhang weder eine Begründungs- pflichtverletzung noch eine Verletzung der Pflicht zur korrekten und voll- ständigen Sachverhaltsfeststellung durch das SEM ersichtlich. Mithin war den Beschwerdeführenden eine sachgerechte Anfechtung der vorinstanz- lichen Verfügung möglich.</w:t>
      </w:r>
    </w:p>
    <w:p>
      <w:r>
        <w:rPr>
          <w:b/>
        </w:rPr>
        <w:t>E. 5.4</w:t>
      </w:r>
    </w:p>
    <w:p>
      <w:r>
        <w:t>Für die eventualiter beantragte Rückweisung der Sache an die Vor- instanz besteht demnach keine Veranlassung. Der Antrag ist abzuweisen.</w:t>
      </w:r>
    </w:p>
    <w:p>
      <w:r>
        <w:rPr>
          <w:b/>
        </w:rPr>
        <w:t>E. 6.1</w:t>
      </w:r>
    </w:p>
    <w:p>
      <w:r>
        <w:t>Nach Prüfung der Akten kommt das Bundesverwaltungsgericht zum Schluss, dass die vorinstanzliche Verfügung zu bestätigen ist. Die Ausfüh- rungen in der Beschwerdeschrift vermögen den Erwägungen des SEM nichts Stichhaltiges entgegenzusetzen. Somit kann vorab auf die zutreffen- den Erwägungen der angefochtenen Verfügung verwiesen werden.</w:t>
      </w:r>
    </w:p>
    <w:p>
      <w:r>
        <w:t>E-1687/2020 Seite 8 Als wesentlich wird Folgendes erachtet:</w:t>
      </w:r>
    </w:p>
    <w:p>
      <w:r>
        <w:rPr>
          <w:b/>
        </w:rPr>
        <w:t>E. 6.2</w:t>
      </w:r>
    </w:p>
    <w:p>
      <w:r>
        <w:t>Es gelang den Beschwerdeführenden nicht, die geltend gemachte Ver- folgungssituation durch Anhänger Mahinda Rajapaksas im Zeitpunkt der Ausreise glaubhaft zu machen. Insgesamt fügen sich ihre Schilderungen und die eingereichten Beweismittel nicht zu einem in sich stimmigen Ge- samtbild zusammen.</w:t>
      </w:r>
    </w:p>
    <w:p>
      <w:r>
        <w:rPr>
          <w:b/>
        </w:rPr>
        <w:t>E. 6.3</w:t>
      </w:r>
    </w:p>
    <w:p>
      <w:r>
        <w:t>Festzustellen ist zunächst, dass sowohl der Beschwerdeführer als auch die Beschwerdeführerin die Ereignisse im Heimatstaat in ihrem freien Vortrag der Asylgründe ausführlich schildern. Die Ausführungen beider sind jedoch nahezu deckungsgleich, auch was die Schilderung von vermeintli- chen Details anbelangt. Es entsteht daher der Eindruck, dass die Be- schwerdeführenden sich hinsichtlich der Darlegung ihrer Asylgründe abge- sprochen haben (vgl. act. A6/17 und A8/17 jeweils Ziff. 7.01).</w:t>
      </w:r>
    </w:p>
    <w:p>
      <w:r>
        <w:rPr>
          <w:b/>
        </w:rPr>
        <w:t>E. 6.4</w:t>
      </w:r>
    </w:p>
    <w:p>
      <w:r>
        <w:t>Sowohl hinsichtlich des vorgebrachten Überfalls durch Anhänger Ma- hinda Rajapaksas in ihrer Druckerei als auch der darauffolgenden Ereig- nisse erweisen sich die Schilderungen bisweilen als unstimmig sowie we- nig plausibel und wirken konstruiert. Das Gericht schliesst sich der vo- rinstanzlichen Einschätzung diesbezüglich vollumfänglich an. Sodann sind auch die Schilderungen der Ereignisse nach dem Überfall und der angeb- lich erfolglosen Anzeigeerstattung von Unstimmigkeiten und Unklarheiten geprägt. Anlässlich der BzP berichtete der Beschwerdeführer zunächst, die unbekannten Personen seien am Tag nach dem Überfall in der Druckerei während ihrer Abwesenheit in ihre Wohnung eingedrungen, später ist vom selben Tag die Rede (vgl. act A6/17 Ziff. 7.01, A31/22 F24 f. und F104). Sodann machten die Beschwerdeführenden detaillierte Angaben zum Zu- stand der verwüsteten Wohnung und den abhandengekommenen Gegen- ständen, wie beispielsweise aus Alben gerissene Fotos vom Beschwerde- führer, mit welchen dieser nun durch die «Mafia» im Heimatstaat gesucht werde (vgl. act. A31/22 F25). Gleichzeitig erklärten sie aber auch, direkt nach dem Überfall in ihrer Druckerei bei einem Freund untergekommen zu sein und aus Angst dessen Wohnung bis zu ihrer Ausreise nicht mehr ver- lassen zu haben (vgl. act. A8/17 Ziff. 7.01, A31/22 F24 und F104). Somit wird nicht ersichtlich, wie die Beschwerdeführenden einen detaillierten Überblick über ihr Inventar erhalten haben sollen. Insgesamt muten die entsprechenden Schilderungen auch vor dem Hintergrund konstruiert an, dass ihr Wohngebäude nach eigenem Bekunden immer von einem Sicher- heitsdienst bewacht worden sei, der den Zugang zu den Wohnungen der</w:t>
      </w:r>
    </w:p>
    <w:p>
      <w:r>
        <w:t>E-1687/2020 Seite 9 Mietparteien kontrolliert und sie bei Unregelmässigkeiten jeweils kontak- tiert habe (vgl. act. A33/12 F38 und F50). Auf Nachfrage, was nach ihrer Ausreise mit der Wohnung geschehen sei, äusserte der Beschwerdeführer sodann die vage Vermutung, diese sei wohl weitervermietet worden (vgl. act. A31/22 F30). Unter Berücksichtigung der Aussage, dass der für das Wohngebäude zuständige Sicherheitsdienst sie respektive den Bruder der Beschwerdeführerin auch nach diesem Vorfall jeweils über unangekün- digte Besucher informiert habe, wäre zu erwarten gewesen, dass sie kon- kretere Angaben zu ihrer Wohnung und den darin enthaltenen Besitztü- mern hätten machen können. Schliesslich ist festzustellen, dass die Be- schwerdeführenden keine Beweismittel zur behaupteten Zerstörung ihrer Wohnung und ihres Autos einreichten, obwohl sie bezüglich des Autos so- gar Kontakt mit ihrer Versicherung respektive Leasingfirma aufgenommen haben wollen (vgl. act. A6/17 Ziff. 7.01 und A31/22 F35).</w:t>
      </w:r>
    </w:p>
    <w:p>
      <w:r>
        <w:rPr>
          <w:b/>
        </w:rPr>
        <w:t>E. 6.5</w:t>
      </w:r>
    </w:p>
    <w:p>
      <w:r>
        <w:t>Nicht nachvollziehbar ist sodann, dass die Beschwerdeführenden sich nach dem Überfall nicht an den CID gewandt haben, sondern sich zu einem normalen Polizeiposten begeben haben wollen, stand doch der Überfall nach Angaben der Beschwerdeführenden im direkten Zusammenhang mit der erklärten Bereitschaft des Beschwerdeführers zur Zusammenarbeit mit dem CID. Eine Kontaktaufnahme mit dem CID wäre daher konsequent er- schienen. Die Beschwerdeführenden haben jedoch den Verkauf ihres nach eigenem Bekunden sehr gut florierenden Geschäfts und die Flucht aus dem Heimatstaat gewählt, ohne plausibel zu erklären, warum sie sich in dieser Sache keine Hilfe vom CID versprochen haben.</w:t>
      </w:r>
    </w:p>
    <w:p>
      <w:r>
        <w:rPr>
          <w:b/>
        </w:rPr>
        <w:t>E. 6.6</w:t>
      </w:r>
    </w:p>
    <w:p>
      <w:r>
        <w:t>In Bezug auf die eingereichten Beweismittel ist der Vorinstanz sodann darin zuzustimmen, dass diese nicht geeignet sind, den geltend gemach- ten Sachverhalt zu belegen. Weder die eingereichten Geschäftsunterlagen noch die vorgelegte Vorladung des CID vermögen – ungeachtet ihrer Au- thentizität – das angebliche Verfolgungsinteresse von Anhängern Mahinda Rajapaksas am Beschwerdeführer aufzuzeigen. Insbesondere wird nicht ersichtlich, in welchem Kontext die Vorladung des CID ausgestellt worden sein soll. Die übrigen Beweismittel erweisen sich zwar als umfangreich, zeugen aber gerade mit Blick auf den Beschwerdeführer weder von beson- derer Aussagekraft noch Brisanz. Der Beschwerdeführer stellte sodann im vorinstanzlichen Verfahren in Aussicht, weitere Beweismittel mit entspre- chender Beweistauglichkeit, welche im Heimatstaat für ihn aufbewahrt wür- den, einzureichen. Diese sollten insbesondere ersichtlich machen, in wel- chem Rahmen Mahinda Rajapaksa in Korruption verwickelt war (vgl. act.</w:t>
      </w:r>
    </w:p>
    <w:p>
      <w:r>
        <w:t>E-1687/2020 Seite 10 A31/22 F16 – F19). Entsprechende Beweismittel sind jedoch nicht zu den Akten gereicht worden, auch nicht auf Beschwerdeebene.</w:t>
      </w:r>
    </w:p>
    <w:p>
      <w:r>
        <w:rPr>
          <w:b/>
        </w:rPr>
        <w:t>E. 6.7.1</w:t>
      </w:r>
    </w:p>
    <w:p>
      <w:r>
        <w:t>Bei den Beschwerdeführenden handelt es sich um Angehörige der singhalesischen Ethnie, denen keine Nähe zur tamilischen Bevölkerung oder den Liberation Tigers of Tamil Eelam (LTTE) vorgeworfen wird. Ent- gegen der entsprechenden Behauptung auf Beschwerdeebene ergeben sich – insbesondere auch vor dem Hintergrund der Unglaubhaftigkeit ihrer Vorbringen – keine relevanten Risikofaktoren im Sinn der bundesverwal- tungsgerichtlichen Rechtsprechung. Die mittlerweile dreijährige Landesab- wesenheit ist praxisgemäss nicht von massgeblicher Relevanz.</w:t>
      </w:r>
    </w:p>
    <w:p>
      <w:r>
        <w:rPr>
          <w:b/>
        </w:rPr>
        <w:t>E. 6.7.2</w:t>
      </w:r>
    </w:p>
    <w:p>
      <w:r>
        <w:t>An dieser Einschätzung vermag auch die aktuelle Lage in Sri Lanka nichts zu ändern. Aus der Situation seit dem Machtwechsel im Jahr 2019 lässt sich in Bezug auf die Beschwerdeführenden keine konkrete und indi- viduelle Gefährdungssituation ableiten, zumal die Beschwerdeführenden nicht zu einer Ethnie respektive Bevölkerungsgruppe gehören, die im Fo- kus der derzeitigen Machthaber stehen könnten und auch aus ihrem per- sönlichen Profil nicht geschlossen werden kann, dass sie in ihrem Heimat- staat einer erhöhten Gefahr ausgesetzt wären.</w:t>
      </w:r>
    </w:p>
    <w:p>
      <w:r>
        <w:rPr>
          <w:b/>
        </w:rPr>
        <w:t>E. 6.8</w:t>
      </w:r>
    </w:p>
    <w:p>
      <w:r>
        <w:t>Zusammenfassend ist festzuhalten, dass die Beschwerdeführenden aufgrund des Dargelegten die Flüchtlingseigenschaft nicht erfüllen und das SEM ihre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E-1687/2020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Gemäss Praxis des Europäischen Gerichtshofes für Men- schenrechte (EGMR) sowie jener des UN-Anti-Folterausschusses müssten</w:t>
      </w:r>
    </w:p>
    <w:p>
      <w:r>
        <w:t>E-1687/2020 Seite 12 die Beschwerdeführenden eine konkrete Gefahr nachweisen oder glaub- haft machen, dass ihnen im Fall einer Rückschiebung Folter oder un- menschliche Behandlung drohen würde (vgl. Urteil des EGMR Saadi ge- gen Italien 28. Februar 2008, Grosse Kammer 37201/06, §§ 124–127 m.w.H.). Dies gelingt ihnen nicht. Die allgemeine Menschenrechtssituation in Sri Lanka lässt den Wegweisungsvollzug zum heutigen Zeitpunkt nicht als unzulässig erscheinen (vgl. dazu BVGE 2011/24 E. 10.4 und Referenz- urteil E-1866/2015 E. 12.2).</w:t>
      </w:r>
    </w:p>
    <w:p>
      <w:r>
        <w:rPr>
          <w:b/>
        </w:rPr>
        <w:t>E. 8.2.3</w:t>
      </w:r>
    </w:p>
    <w:p>
      <w:r>
        <w:t>Zudem ergeben sich aus den Akten keine konkreten Anhaltspunkte dafür, dass die Beschwerdeführenden bei einer Rückkehr nach Sri Lanka mit beachtlicher Wahrscheinlichkeit Massnahmen zu befürchten hätte, die über einen sogenannten «Background Check» (Befragung und Überprü- fung von Tätigkeiten im In- und Ausland) hinausgehen würden, oder dass sie persönlich gefährdet wären.</w:t>
      </w:r>
    </w:p>
    <w:p>
      <w:r>
        <w:rPr>
          <w:b/>
        </w:rPr>
        <w:t>E. 8.2.4</w:t>
      </w:r>
    </w:p>
    <w:p>
      <w:r>
        <w:t>Das Bundesverwaltungsgericht gelangt zur Einschätzung, dass sich die jüngsten politischen Entwicklungen in Sri Lanka nicht in relevanter Weise auf die Beschwerdeführenden auswirken dürften. Die allgemeine Menschenrechtssituation in Sri Lanka lässt den Wegweisungsvollzug zum heutigen Zeitpunkt weiterhin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Aktuell herrscht in Sri Lanka weder Krieg noch eine Situation allge- meiner Gewalt, dies gilt auch unter Berücksichtigung der aktuellen dortigen Ereignisse und Entwicklungen insbesondere in Bezug auf die tamilische Bevölkerung. Der Wegweisungsvollzug in die Herkunftsregion Grossraum D._______ der Beschwerdeführenden erweist sich grundsätzlich als zu- mutbar (vgl. BVGE 2011/24 E. 13.3 sowie u.a. Urteil des BVGer E- 553/2020 vom 25. August 2021 E. 4.3).</w:t>
      </w:r>
    </w:p>
    <w:p>
      <w:r>
        <w:rPr>
          <w:b/>
        </w:rPr>
        <w:t>E. 8.3.3</w:t>
      </w:r>
    </w:p>
    <w:p>
      <w:r>
        <w:t>Auch die politischen Entwicklungen seit der Ausreise der Beschwer- deführenden, insbesondere die Präsidentschaftswahl im Jahr 2019, lassen keine andere Einschätzung zu.</w:t>
      </w:r>
    </w:p>
    <w:p>
      <w:r>
        <w:t>E-1687/2020 Seite 13</w:t>
      </w:r>
    </w:p>
    <w:p>
      <w:r>
        <w:rPr>
          <w:b/>
        </w:rPr>
        <w:t>E. 8.3.4</w:t>
      </w:r>
    </w:p>
    <w:p>
      <w:r>
        <w:t>In Bezug auf das Vorliegen individueller Zumutbarkeitskriterien kann mit Verweis auf die Akten festgehalten werden, dass es sich bei den Be- schwerdeführenden um Personen mit über 10- beziehungsweise 15-jähri- ger Berufserfahrung handelt, die über mehrere Jahre hinweg gewinnbrin- gend eine eigene Druckerei betrieben haben. Ausserdem verfügen sie über ein tragfähiges familiäres und soziales Beziehungsnetz im Heimatstaat, weshalb sowohl ihr Lebensunterhalt als auch die Wohnsituation gesichert erscheinen, zumal die Eltern und mehrere Geschwister der Beschwerde- führenden im Grossraum D._______ leben. Insofern ist anzunehmen, dass sie sich bei einer Rückkehr auf die Unterstützung durch ihre Familie ver- lassen können und es ihnen darüber hinaus möglich ist, sich wieder eine eigene wirtschaftliche Existenz aufzubauen. Der Vollzug der Wegweisung erweist sich auch mit Blick auf das Wohl des zwischenzeitlich in der Schweiz geborenen Kindes, welches jedoch noch im Kleinkindalter ist, so- wie die gesundheitliche Verfassung der Beschwerdeführenden als zumut- bar.</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Da indessen mit Instruk- tionsverfügung vom 3. April 2020 ihr Gesuch um Gewährung der unent- geltlichen Prozessführung gemäss Art. 65 Abs. 1 VwVG gutgeheissen</w:t>
      </w:r>
    </w:p>
    <w:p>
      <w:r>
        <w:t>E-1687/2020 Seite 14 wurde und keine Anhaltspunkte dafür vorliegen, dass sich ihre finanzielle Lage seither entscheidrelevant verändert hätte, ist von der Auflage von Verfahrenskosten abzusehen.</w:t>
      </w:r>
    </w:p>
    <w:p>
      <w:r>
        <w:rPr>
          <w:b/>
        </w:rPr>
        <w:t>E. 10.2</w:t>
      </w:r>
    </w:p>
    <w:p>
      <w:r>
        <w:t>Mit Instruktionsverfügung vom 3. April 2020 wurde den Beschwerde- führenden MLaw Michèle Künzi als amtliche Rechtsbeiständin beigeord- net. Demnach ist dieser ein Honorar für die notwendigen Aufwendungen im Beschwerdeverfahren auszurichten. Mit der Beschwerde reichte die Rechtsbeiständin eine Honorarnote zu den Akten, in welcher sie einen Ver- tretungsaufwand von zwölf Stunden auflistet, wobei der ausgewiesene zeitliche Aufwand angesichts des Beschwerdeumfangs zu hoch erscheint. In Anbetracht sämtlicher Aspekte des vorliegenden Falles ist ein Aufwand von pauschal neun Stunden als angemessen zu veranschlagen. Zudem geht das Gericht – wie in der Instruktionsverfügung vom 3. April 2020 kom- muniziert – bei amtlicher Vertretung in der Regel von einem Stundenansatz von Fr 100.– bis Fr. 150.– für nicht-anwaltliche Vertreterinnen und Vertreter aus (vgl. Art. 12 i.V.m. Art. 10 Abs. 2 des Reglements vom 21. Februar 2008 über die Kosten und Entschädigungen vor dem Bundesverwaltungs- gericht (VGKE, SR 173.320.2). Der Stundenansatz ist daher von Fr. 180.– auf Fr. 150.– zu kürzen. In Anwendung der massgebenden Bemessungs- faktoren und unter Berücksichtigung des herabgesetzten Stundenansatzes ist das vom Gericht auszurichtende Honorar demnach auf insgesamt Fr. 1'454.– (inklusive Auslagen und Mehrwertsteuer) festzulegen.</w:t>
      </w:r>
    </w:p>
    <w:p>
      <w:r>
        <w:t>(Dispositiv nächste Seite)</w:t>
      </w:r>
    </w:p>
    <w:p>
      <w:r>
        <w:t>E-1687/2020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