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E-1681/2013 vom 15. April 2013</w:t>
      </w:r>
    </w:p>
    <w:p>
      <w:r>
        <w:t>Bundesverwaltungsgericht, 2013-04-15, DE</w:t>
      </w:r>
    </w:p>
    <w:p>
      <w:r>
        <w:rPr>
          <w:b/>
        </w:rPr>
        <w:t xml:space="preserve">Quelle: </w:t>
      </w:r>
      <w:r>
        <w:t>https://mcp.opencaselaw.ch/entscheid/bvger_E-1681_2013</w:t>
      </w:r>
    </w:p>
    <w:p>
      <w:r>
        <w:t>FR: TAF E-1681/2013 du 15 avril 2013</w:t>
      </w:r>
    </w:p>
    <w:p>
      <w:r>
        <w:t>IT: TAF E-1681/2013 del 15 aprile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stellt in der angefochtenen Verfügung fest, die niederländischen Behörden hätten das Ersuchen des BFM um Übernahme des Beschwerdeführers gestützt auf Art. 16 Abs. 1 Dublin-II-VO gutgeheissen. Die Zuständigkeit für die Durchführung des Asyl- und Wegweisungsverfahrens liege somit bei den Niederlanden. Gemäss der Dublin-II-VO gebe es keine Normen, welche es erlauben würde, individuelle Präferenzen eines Asylsuchenden zu berücksichtigen. Der Beschwerdeführer habe seine Freundin erst in den Niederlanden kennen gelernt und erst wenige Male gesehen; mithin gehöre sie nicht zur Kernfamilie im Sinne von Art. 2 Bst. i Dublin-II-VO. Der Beschwerdeführer könne die Beziehung weiter von den Niederlanden aus pflegen.</w:t>
      </w:r>
    </w:p>
    <w:p>
      <w:r>
        <w:rPr>
          <w:b/>
        </w:rPr>
        <w:t>E. 3.3</w:t>
      </w:r>
    </w:p>
    <w:p>
      <w:r>
        <w:t>Der Beschwerdeführer beantragt, die Verfügung sei aufzuheben und die Sache an das BFM zurückzuweisen mit der Anweisung, auf das Asylgesuch einzutreten und den Sachverhalt vollständig festzustellen. Soweit er damit sinngemäss geltend macht, der Sachverhalt sei nicht vollständig festgestellt worden, substantiiert er diese Rüge in der Eingabe nicht, weshalb darauf nicht weiter einzugehen ist.</w:t>
      </w:r>
    </w:p>
    <w:p>
      <w:r>
        <w:rPr>
          <w:b/>
        </w:rPr>
        <w:t>E. 3.4</w:t>
      </w:r>
    </w:p>
    <w:p>
      <w:r>
        <w:t>Der Beschwerdeführer macht weiter geltend, seine Asylgründe seien in den Niederlanden nicht hinreichend geprüft worden. Er habe befürchtet, nach China ausgeschafft und dort wegen illegaler Ausreise bestraft zu werden. Seine Freundin verfüge hier in der Schweiz über eine Aufenthaltsbewilligung B, welche diesen Sommer in eine C-Bewilligung umgewandelt werde. Die Ehevorbereitung sei im Gang. Mit diese Ausführungen bringt der Beschwerdeführer nichts Stichhaltiges vor, das in Bezug auf die Zuständigkeit der Niederlande für die Durchführung des Asylverfahrens zu einer anderen Beurteilung führen könnte. Die Niederlande sind seit dem 31. August 1954 (in Kraft seit 31. August 1954) Signatarstaat der Konvention vom 4. November 1950 zum Schutze der Menschenrechte und Grundfreiheiten (EMRK, SR 0.101) und seit 21. Dezember 1988 (in Kraft seit 20. Januar 1989) des Übereinkommens vom 10. Dezember 1984 gegen Folter und andere grausame, unmenschliche oder erniedrigende Behandlung oder Strafe (FoK, SR 0.105), und es bestehen keine konkreten Hinweise dafür, dass sich die Niederlande im konkreten Fall nicht an die daraus resultierenden Verpflichtungen halten würden. Auch wenn das Asylverfahren des Beschwerdeführers in den Niederlanden bereits rechtskräftig abgeschlossen ist (A13/3, S. 1 f.) und er deshalb kein Anrecht mehr auf Unterbringung oder weitergehende staatliche oder nichtstaatliche Unterstützung hat, bleiben die Niederlande gemäss Art. 16 Abs. 2 Bst. e Dublin-II-VO weiterhin für sein Verfahren bis zu einem allfälligen Wegweisungsvollzug zuständig (Art. 16 Abs. 4 Dublin-II-VO sowie Christian Filzwieser/Andrea Sprung, Dublin-II-Verordnung, 3., überarb. Aufl., Wien/Graz 2010, K 25 zu Art. 16 Abs. 4). Der Beschwerdeführer macht geltend, er beabsichtige seine in der Schweiz aktuell über eine B-Bewilligung verfügende Freundin heiraten zu wollen. Nach Art. 2 Bst. i Dublin-II-VO ist der nicht verheiratete Partner der asylsuchenden Person ein Familienangehöriger im Sinne des Dublin-Ab­kommens, sofern eine dauerhafte Beziehung geführt wird. Der Beschwerdeführer kennt seine Freundin zwar seit Ende 2009, hat sie aber in den vergangenen drei Jahren lediglich vier bis fünf Mal gesehen. Insoweit kann nicht von einer tatsächlich gelebten, dauerhaften Beziehung ausgegangen werden. Zudem substantiiert der Beschwerdeführer seine Beziehung sowie die Heiratsabsichten in der Rechtsmitteleingabe nicht weiter. Schliesslich beruft sich der Beschwerdeführer zu Recht auch nicht auf Art. 15 Dublin-II-VO (humanitäre Klausel). Es liegen somit keine Anhaltspunkte vor, dass die Niederlande ihre staatsvertraglichen Verpflichtungen missachten und den Beschwerdeführer unter Missachtung des flüchtlingsrechtlichen Non-refoulement-Gebotes oder von Art. 3 EMRK in den Heimatstaat zurückschaffen würde.</w:t>
      </w:r>
    </w:p>
    <w:p>
      <w:r>
        <w:rPr>
          <w:b/>
        </w:rPr>
        <w:t>E. 3.5</w:t>
      </w:r>
    </w:p>
    <w:p>
      <w:r>
        <w:t>Die Vorinstanz ist somit zutreffend von der Zuständigkeit der Niederlande ausgegangen und in Anwendung von Art. 34 Abs. 2 Bst. d AsylG zu Recht auf das Asylgesuch nicht eingetreten.</w:t>
      </w:r>
    </w:p>
    <w:p>
      <w:r>
        <w:rPr>
          <w:b/>
        </w:rPr>
        <w:t>E. 4.1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4.2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Insoweit besteht auch kein Raum dafür, dem Beschwerdeführer zu erlauben, sich bis zur Heirat, vorläufig in der Schweiz aufzuhalten. Dem Beschwerdeführer ist es zuzumuten, den Abschluss des Ehevorbereitungsverfahrens in den Niederlanden abzuwarten. Die Vorinstanz hat demnach den Vollzug der Wegweisung in die Niederlande zu Recht als zulässig, zumutbar und möglich bezeichnet.</w:t>
      </w:r>
    </w:p>
    <w:p>
      <w:r>
        <w:rPr>
          <w:b/>
        </w:rPr>
        <w:t>E. 5</w:t>
      </w:r>
    </w:p>
    <w:p>
      <w:r>
        <w:t>Nach dem Gesagten ergibt sich, dass die angefochtene Verfügung Bundesrecht nicht verletzt und auch sonst nicht zu beanstanden ist (Art. 106 Abs. 1 AsylG). Die Beschwerde ist abzuweisen. Damit sind die Anträge auf Erlass einer vorsorglichen Massnahme, Wiederherstellung der aufschiebenden Wirkung sowie Ansetzung einer Frist von fünf Arbeitstage, um einen Anwalt zu beauftragen, gegenstandslos geworden.</w:t>
      </w:r>
    </w:p>
    <w:p>
      <w:r>
        <w:rPr>
          <w:b/>
        </w:rPr>
        <w:t>E. 6.1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weder dem Gesuch um Gewährung der unentgeltlichen Rechtspflege noch demjenigen um unentgeltliche Verbeiständung stattzugeben ist.</w:t>
      </w:r>
    </w:p>
    <w:p>
      <w:r>
        <w:rPr>
          <w:b/>
        </w:rPr>
        <w:t>E. 6.2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