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E-1680/2023 vom 22. Februar 2024</w:t>
      </w:r>
    </w:p>
    <w:p>
      <w:r>
        <w:t>Bundesverwaltungsgericht, 2024-02-22, DE</w:t>
      </w:r>
    </w:p>
    <w:p>
      <w:r>
        <w:rPr>
          <w:b/>
        </w:rPr>
        <w:t xml:space="preserve">Quelle: </w:t>
      </w:r>
      <w:r>
        <w:t>https://mcp.opencaselaw.ch/entscheid/bvger_E-1680_2023</w:t>
      </w:r>
    </w:p>
    <w:p>
      <w:r>
        <w:t>FR: TAF E-1680/2023 du 22 février 2024</w:t>
      </w:r>
    </w:p>
    <w:p>
      <w:r>
        <w:t>IT: TAF E-1680/2023 del 22 febbraio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E-1680/2023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Beschwerde werden formelle Rügen erhoben, welche vorab zu beurteilen sind, da sie gegebenenfalls geeignet sind, eine Kassation der vorinstanzlichen Verfügung zu bewirken (vgl. Beschwerde, Ziff. B.II.2, 5.).</w:t>
      </w:r>
    </w:p>
    <w:p>
      <w:r>
        <w:rPr>
          <w:b/>
        </w:rPr>
        <w:t>E. 4.2</w:t>
      </w:r>
    </w:p>
    <w:p>
      <w:r>
        <w:t>Der Beschwerdeführer rügt, die Vorinstanz habe den Untersuchungs- grundsatz verletzt, indem die Übersetzung seiner Aussagen in die deut- sche Sprache gestützt auf die seitens der ehemaligen Rechtsvertretung gemachten Feststellungen sowie seinem persönlichen Empfinden nach (er habe viel mehr gesprochen als übersetzt worden sei) nicht befriedigend gewesen und damit einhergehend eine rechtsgenügliche Sachverhaltsfest- stellung nicht sichergestellt gewesen sei. Der damaligen Rechtsvertretung seien diese Mängel nicht entgangen, weshalb sie diese nach der Anhörung umgehend in ihrer Aktennotiz schriftlich festgehalten habe. Weiter bringt der Beschwerdeführer vor, dass bei der Rückübersetzung ganze Sätze aus grammatikalischen Gründen «umgeschrieben» hätten werden müssen, was daraufhin deute, dass das Deutsch der Dolmetscherin für die vorlie- gende Übersetzungstätigkeit mit grosser Wahrscheinlichkeit als ungenü- gend qualifiziert werden müsse. Der Beschwerdeführer, damals noch min- derjährig, sei aufgrund seiner Unerfahrenheit in Bezug auf die Teilnahme an Anhörungen sowie in einer solchen Situation unter Druck stehend, nicht imstande gewesen, seinen subjektiven Eindruck betreffend die Überset- zungsqualität der Dolmetscherin zu verbalisieren. Er habe Angst vor Nach- teilen gehabt. Inzwischen sei er selber der deutschen Sprache mächtig, weshalb er die damalige Befragungssituation und vor allem die damalige</w:t>
      </w:r>
    </w:p>
    <w:p>
      <w:r>
        <w:t>E-1680/2023 Seite 6 Kommunikation zwischen ihm und der Dolmetscherin gut reflektieren und anhand von Beispielen erklären könne. Der Untersuchungsgrundsatz (Art. 12 VwVG) betrifft die Abklärungspflicht der Behörde. Der entsprechende Beschwerdegrund (Art. 49 Bst. b VwVG beziehungsweise Art. 106 Abs. 1 Bst. b AsylG) ist erfüllt, wenn die Behörde den Sachverhalt nicht von Amtes wegen abgeklärt, oder nicht alle für den Entscheid wesentlichen Sachumstände berücksichtigt hat (vgl. BENJAMIN SCHINDLER, in: Kommentar zum VwVG, 2. Aufl. 2019, Art. 49 N. 29). Der Untersuchungsgrundsatz findet jedoch seine Grenze an der Mitwirkungs- pflicht der gesuchstellenden Person (Art. 8 AsylG, Art. 13 VwVG). Wie die Vorinstanz in ihrer Verfügung richtigerweise festhält, wurde die Vollständigkeit und Richtigkeit des Anhörungsprotokolls unterschriftlich be- stätigt, wobei der Beschwerdeführer anlässlich der Anhörung zudem be- stätigte, dass er die Dolmetscherin gut verstehe (SEM-Akten […]-28/16 F1–F2). Dies wird denn auch anlässlich der Beschwerde nicht bestritten (vgl. Beschwerde B.II.5.3). Bezüglich der Übersetzung ist mit der Vo- rinstanz übereinstimmend festzuhalten, dass allfällige Korrekturen des Protokolls oder Rückfragen im Rahmen der Rückübersetzung der Quali- tätssicherung dienen. Es handelt sich dabei nicht um Mängel in der Anhö- rung, wie dies der Beschwerdeführer geltend macht, sondern es ist zu er- warten, dass sich die mit der Übersetzung beauftragte Person vergewis- sert, dass sie die Ausführungen des Beschwerdeführers korrekt verstan- den hat. Weder in der Beschwerde noch in der Aktennotiz vom 25. Novem- ber 2021 (vgl. Bst. C supra) wurde vom Beschwerdeführer benannt, welche konkreten Sachverhaltspunkte noch nicht abgeklärt worden sein sollen. Zwar behauptet der Beschwerdeführer in der Beschwerde, dass er viel mehr gesprochen habe, als übersetzt worden sei, und er heute die dama- lige Befragungssituation sowie die Kommunikation zwischen ihm und der Dolmetscherin gut reflektieren und anhand von Beispielen erklären könne. In der Beschwerde werden diese Beispiele aber nicht aufgeführt. Im ge- samten Verlauf des Asylverfahrens wurden zudem nie schriftliche Sachver- haltsergänzungen eingebracht oder konkret benannt, welche Aussagen nicht vollständig aufgenommen worden seien. Die Vorinstanz ist für die Feststellung des Sachverhaltes auf die Mitwirkung des Asylsuchenden an- gewiesen. Die knappen Ausführungen anlässlich der Anhörung sowie die fehlenden Sachverhaltsergänzungen anlässlich der Beschwerde lassen den Schluss zu, dass der Beschwerdeführer keine weiteren Angaben ma- chen konnte. Der Sachverhalt wurde von der Vorinstanz somit vollständig festgestellt. Der Untersuchungsgrundsatz ist nicht verletzt.</w:t>
      </w:r>
    </w:p>
    <w:p>
      <w:r>
        <w:t>E-1680/2023 Seite 7</w:t>
      </w:r>
    </w:p>
    <w:p>
      <w:r>
        <w:rPr>
          <w:b/>
        </w:rPr>
        <w:t>E. 4.3</w:t>
      </w:r>
    </w:p>
    <w:p>
      <w:r>
        <w:t>Weiter wird eine Verletzung des rechtlichen Gehörs gerügt, indem den Besonderheiten der Befragung im Hinblick auf die damalige Minderjährig- keit des Beschwerdeführers nicht Rechnung getragen worden sei. Es könne zwar nicht behauptet werden, dass die Anhörung generell nicht kindsgerechter Natur gewesen sei. Der Befrager habe während der ganzen Anhörung aber praktisch nie Blickkontakt mit dem Beschwerdeführer ge- habt. Der Beschwerdeführer habe sich oftmals mit Gesten bedient, was ein Zeichen sei, sich auszudrücken, aber auch ein Zeichen dafür, dass jemand eben gerade nicht wisse, wie er/sie sich mit Worten ausdrücken könne. Zudem habe die Vorinstanz den Antrag auf Anordnung eines Gutachtens nach dem Istanbuler-Protokoll abgewiesen, obwohl der Beschwerdeführer auch auf körperliche Spuren (Narben) von den in Haft erlittenen Misshand- lungen hingewiesen habe. Es wird geltend gemacht, dass dem Antrag auf Durchführung einer ergänzenden Anhörung aufgrund der zahlreichen fest- gestellten Mängel hätte entsprochen werden sollen, um sicherzustellen, dass alle Aussagen des Beschwerdeführers vollumfänglich und korrekt aufgenommen worden seien.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(vgl. BGE 143 III 65 E. 5.2). Der Beschwerdeführer beruft sich in seiner Beschwerde auf BVGE 2014/30, worin die Grundsätze für die Anhörung eines UMA festgehalten werden. Wie der Beschwerdeführer korrekt festhält, sind bei UMA das Alter, der Reifegrad sowie die Komplexität der Vorbringen (insbesondere die Ka- pazität, die Fragen richtig zu verstehen, sich zu erinnern und zu kommuni- zieren) und besondere verfahrensrechtliche Anforderungen hinsichtlich des Beweiswertes der Vorbringen zu berücksichtigen. Die Vorbringen betreffend die nicht kindsgerechte Anhörung gehen ins Leere. Der Beschwerdeführer war im Zeitpunkt der Anhörung (…) Jahre und (…) Monate alt. Er hatte die Schule bis zur achten Klasse besucht. Wie sich aus den Anhörungsprotokollen ergibt, startete die Anhörung mit der für</w:t>
      </w:r>
    </w:p>
    <w:p>
      <w:r>
        <w:t>E-1680/2023 Seite 8 UMA üblichen Einleitung und Vorstellung der Personen sowie der allgemei- nen Informationen zum Ablauf und Grund der Anhörung. Diese Informatio- nen wurden dem Beschwerdeführer in einfachen, gut verständlichen Sät- zen vermittelt. Bevor der Beschwerdeführer zu seinen Asylgründen befragt wurde, machte ihn der Befrager wiederholt darauf aufmerksam, möglichst detaillierte und ausführliche Angaben zu machen. Der Beschwerdeführer wurde darauf hingewiesen, dass er Zeit habe, die Ausreisegründe zu schil- dern, und er auch Dinge schildern könne, die ihm in Erinnerung geblieben seien, auch solche, die er als nicht relevant erachte. Aus dem Protokoll ergibt sich zudem, dass die Fragestellungen während der gesamten Anhö- rung einfach gehalten wurden. Es wurden offene Fragen gestellt und wo nötig, fragte der Befrager nach oder formulierte die Frage anders. Ebenso wurde im Protokoll festgehalten, wann der Beschwerdeführer gestikuliert hat. Zwar behauptet der Beschwerdeführer, dass der Befrager praktisch nie Blickkontakt mit ihm gehabt habe. Entscheidend ist aber, dass auch die nonverbale Kommunikation im Protokoll festgehalten und berücksichtigt wurde. Dass dies angeblich bloss auf Hinweise durch die damalige Rechts- vertretung erfolgte, ändert daran nichts. Selbst wenn der Blickkontakt zwi- schen Befrager und Beschwerdeführer gering gewesen wäre, hätte es dem Beschwerdeführer freigestanden, bei der Rückübersetzung weitere Anmer- kungen anzubringen oder Anpassungen vorzunehmen, zumal er von sei- ner damaligen Rechtsvertretung begleitet war und deren Fragen und An- merkungen ins Protokoll aufgenommen wurden (vgl. SEM-Akten […]-28/16 F61, F88, F148, F154–159). Es ist daher mit der Vorinstanz übereinzustim- men, dass die Art der Anhörung dem Alter und der Reife des Beschwerde- führers entsprochen hat. Im Hinblick darauf, dass dem Beschwerdeführer eine Mitwirkungspflicht gemäss Art. 8 AsylG zukommt, wäre zudem zu er- warten gewesen, dass er nötigenfalls den Sachverhalt richtigstellt bezie- hungsweise eine Sachverhaltsergänzung vornimmt (vgl. E. 4.2 hiervor). Beides ist nicht erfolgt. Auch liegt keine Verletzung des rechtlichen Gehörs vor, wenn die Vorinstanz auf das Einholen eines Foltergutachtens nach dem Istanbul-Protokoll verzichtet hat. An den Ausführungen des SEM ist festzuhalten (Verfügung vom 22. Februar 2023 SEM-Akten […]-47/16 Ziff. II.1 S. 10). Die Vorinstanz hat das rechtliche Gehör nicht verletzt. Die Rügen erweisen sich als unbegründet.</w:t>
      </w:r>
    </w:p>
    <w:p>
      <w:r>
        <w:rPr>
          <w:b/>
        </w:rPr>
        <w:t>E. 4.4</w:t>
      </w:r>
    </w:p>
    <w:p>
      <w:r>
        <w:t>Aus der Verfahrensdauer kann der Beschwerdeführer, der vor Ergehen der angefochtenen Verfügung keine formelle Rechtsverzögerungsbe- schwerde eingereicht hat, ebenfalls nichts zu seinen Gunsten ableiten. Die</w:t>
      </w:r>
    </w:p>
    <w:p>
      <w:r>
        <w:t>E-1680/2023 Seite 9 Rüge, das SEM habe Art. 17 Abs. 2bis AsylG verletzt, ist unbegründet, weil es sich bei der vom Beschwerdeführer angerufenen Empfehlung, Asylge- suche von UMA seien prioritär zu behandeln, um keine justiziable Verfah- renspflicht handelt.</w:t>
      </w:r>
    </w:p>
    <w:p>
      <w:r>
        <w:rPr>
          <w:b/>
        </w:rPr>
        <w:t>E. 4.5</w:t>
      </w:r>
    </w:p>
    <w:p>
      <w:r>
        <w:t>Zusammenfassend ist festzuhalten, dass die Vorinstanz den Sachver- halt vollständig und korrekt festgestellt hat und der Untersuchungsgrund- satz sowie das rechtliche Gehör mithin nicht verletzt wurden.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gelangte in ihrer angefochtenen Verfügung zum Schluss, die Vorbringen des Beschwerdeführers hielten den Anforderun- gen an die Glaubhaftigkeit gemäss Art. 7 AsylG nicht stand. Aber selbst bei Wahrunterstellung würden sie keine flüchtlingsrechtliche Relevanz entfal- ten. Das SEM führte aus, der Beschwerdeführer habe – trotz der Bitte um de- taillierte und ausführliche Angaben – kurze und unpersönliche Angaben im Hinblick auf seine Flucht, die Verhaftungen, die Demonstrationen, dass auf dem Polizeiposten Widerfahrene sowie die Gerichtsverhandlung gemacht. Auch zum Zweck der Rekrutierung habe er praktisch keine fundierten An- gaben machen können. Die diesbezüglichen Angaben seien knapp,</w:t>
      </w:r>
    </w:p>
    <w:p>
      <w:r>
        <w:t>E-1680/2023 Seite 10 unpersönlich, emotionslos, monoton sowie inkonsistent ausgefallen. Fra- gen nach dem Grund für die Demonstrationen sowie seine erste Verhaf- tung habe er ausweichend beantwortet. Die Urteilsverkündung habe er emotionslos und distanziert geschildert. Auch auf mehrfache Nachfrage hin seien die Angaben nicht ausführlicher ausgefallen. So habe er betreffend die Flucht stets angegeben, einfach vom Ort weggegangen beziehungs- weise weggelaufen zu sein. Welche Gruppe ihn für welchen Zweck rekru- tiert haben wolle, habe er ebenfalls nicht klarstellen können. Die Schilde- rungen seien diesbezüglich unbeständig und kontextbefreit ausgefallen. Zur ersten Verhaftung habe er auch auf mehrmalige Nachfrage hin keine ausführlicheren Schilderungen vorgenommen. Er habe ausserdem bei Nachfragen – teilweise ungefragt – die gleichen Aussagen wiederholt. Die Vorinstanz befand, dass es in praktisch all seinen Schilderungen an Realkennzeichen fehle. Die Vorinstanz hielt zudem fest, dass – selbst bei Wahrunterstellung – ein kausaler Zusammenhang zwischen den vorgebrachten Inhaftierungen und der Ausreise zu verneinen sei, da er angegeben habe, nach den drei Inhaf- tierungen noch eine längere Zeit im Heimatdorf normal weitergelebt zu ha- ben, und dass erst eine drohende Rekrutierung in den Militärdienst zum Ausreiseentschluss geführt habe. Es sei nicht zu erwarten, dass die äthiopische Regierung in Zukunft irgend- ein Interesse daran haben sollte, den Beschwerdeführer, einen Schüler, der an einer Demonstration teilgenommen habe, nachhaltig zu verfolgen. Er besitze weder ein politisches Profil noch stelle er sonst in irgendeiner Weise ein substantielles Risiko für die äthiopische Regierung dar. Zwar habe er gegen Ende der Anhörung vorgebracht, dass sein Vater die (…) ([…]) unterstützt habe. Da dieser seit Jahren unbehelligt in B._______ lebe und in seinem eigenen Geschäft arbeite, könne dem aber keine flüchtlings- rechtliche Relevanz zugerechnet werden.</w:t>
      </w:r>
    </w:p>
    <w:p>
      <w:r>
        <w:rPr>
          <w:b/>
        </w:rPr>
        <w:t>E. 6.2</w:t>
      </w:r>
    </w:p>
    <w:p>
      <w:r>
        <w:t>In der Beschwerdeschrift wird neben allgemeinen und theoretischen Ausführungen zur Glaubhaftmachung (insbesondere im Hinblick auf UMA) geltend gemacht, es sei fraglich, ob dem herabgesetzten Beweismassstab für minderjährige Gesuchsteller gebührend Rechnung getragen worden sei. Es sei nicht gehörig berücksichtigt worden, dass sich die Ereignisse im Kindes- und Jugendalter zugetragen und traumatische Auswirkungen ge- habt hätten (vgl. Beschwerde Ziff. B.II.6). Gleichzeitig wird vorgebracht, dass die Aussagen des Beschwerdeführers als glaubhaft zu betrachten</w:t>
      </w:r>
    </w:p>
    <w:p>
      <w:r>
        <w:t>E-1680/2023 Seite 11 und geeignet seien, die Flüchtlingseigenschaft nach Art. 3 AsylG zu be- gründen (vgl. Beschwerde Ziff. B.II.6.5 f.).</w:t>
      </w:r>
    </w:p>
    <w:p>
      <w:r>
        <w:rPr>
          <w:b/>
        </w:rPr>
        <w:t>E. 7.1</w:t>
      </w:r>
    </w:p>
    <w:p>
      <w:r>
        <w:t>Das Bundesverwaltungsgericht gelangt nach Durchsicht der Akten zum Schluss, dass das SEM in seiner Verfügung mit überzeugender Begrün- dung zur Erkenntnis gelangt ist, die Vorbringen des Beschwerdeführers hielten weder den Anforderungen an die Glaubhaftigkeit noch denjenigen an die Flüchtlingseigenschaft stand. Zur Vermeidung von Wiederholungen kann auf die einlässlichen Erwägungen der Vorinstanz verwiesen werden (vgl. Verfügung vom 22. Februar 2023 SEM-Akten […]-47/16 Ziff. II.1 S. 5 ff.). Dem Beschwerdeführer gelingt es nicht, diesen etwas Stichhaltiges entgegenzusetzen. Dabei kann sich das Bundesverwaltungsgericht insbesondere der Auffas- sung der Vorinstanz anschliessen, dass der Beschwerdeführer aufgrund seiner unsubstantiierten und knappen Schilderungen nicht glaubhaft darle- gen konnte, Ziel einer politisch motivierten Verfolgung sowie einer Zwangs- rekrutierung geworden zu sein. Insbesondere kann – trotz des damals ju- gendlichen Alters des Beschwerdeführers – von ihm verlangt werden, dass er die ihm persönlich widerfahrenen Ereignisse ausführlich, ohne wesent- liche Widersprüche und in nachvollziehbarer Weise sowie mit Realkenn- zeichen versehen schildert. Dies ist ihm nicht gelungen, was sich unter an- derem daran zeigt, dass er angab, ihm sei der Trainingsort gezeigt worden, danach aber aussagte, dass er nicht dort gewesen sei (SEM-Akten […]- 28/16 F67, F69, F145-146, F148-149). Zudem konnte er den Grund für die Teilnahme an der Demonstration nicht schlüssig schildern, wenn er einmal angab, für die Rechte der Oromo zu demonstrieren und zum anderen aus- sagte, dass er demonstriert habe, weil er die Schule habe besuchen wol- len, obwohl er diese bereits jahrelang besucht hatte (SEM-Akten […]-28/16 F80-F83). Zusätzlich ist festzuhalten, dass es auch bezüglich der Fest- nahme Unstimmigkeiten gab, wenn er zuerst – sowohl in der Erstbefragung UMA als auch in der Anhörung – festhielt, er sei zwei Mal in B._______ und einmal in C._______ festgenommen worden, dies dann in der Anhörung korrigierte und angab, in der Schule in B._______ festgenommen aber in C._______ festgehalten worden zu sein (SEM-Akten […]-14/9 F7.02; SEM-Akten […]-28/16 F118-F121).</w:t>
      </w:r>
    </w:p>
    <w:p>
      <w:r>
        <w:rPr>
          <w:b/>
        </w:rPr>
        <w:t>E. 7.2</w:t>
      </w:r>
    </w:p>
    <w:p>
      <w:r>
        <w:t>Zusammenfassend ergibt sich, dass das SEM das Asylgesuch des Be- schwerdeführers zu Recht abgelehnt hat.</w:t>
      </w:r>
    </w:p>
    <w:p>
      <w:r>
        <w:t>E-1680/2023 Seite 12</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E-1680/2023 Seite 13</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Bundesverwaltungsgericht geht in konstanter Praxis von der grund- sätzlichen Zumutbarkeit des Wegweisungsvollzugs nach Äthiopien aus (vgl. Referenzurteil D–6630/2018 vom 6. Mai 2019 E. 12.2, in Bestätigung von BVGE 2011/25 E. 8.3). Trotz der weiterhin herrschenden ethnischen Spannungen und Protestbewegungen ist die allgemeine Lage – mit Aus- nahme einzelner Regionen – nicht generell durch Krieg, Bürgerkrieg oder eine Situation allgemeiner Gewalt gekennzeichnet, aufgrund derer die Zi- vilbevölkerung allgemein als konkret gefährdet zu bezeichnen wäre (vgl. Urteil des BVGer E–6634/2019 vom 17. November 2023 E 7.4.1 m.w.H.).</w:t>
      </w:r>
    </w:p>
    <w:p>
      <w:r>
        <w:t>E-1680/2023 Seite 14 Gleichzeitig sind die Lebensbedingungen in Äthiopien in vielen Regionen nach wie vor als prekär anzusehen, weshalb gemäss konstanter Praxis zur Existenzsicherung begünstigende Faktoren wie genügend finanzielle Mit- tel, berufliche Fähigkeiten und ein intaktes Beziehungsnetz erforderlich sind, um die Zumutbarkeit des Wegweisungsvollzugs bestätigen zu kön- nen (vgl. BVGE 2011/25 E. 8.4. f., bestätigt im Referenzurteil D–6630/2018 vom 6. Mai 2019 E. 12.4; Urteile des BVGer E–6634/2019 E. 7.4.1; E– 2494/2020 vom 27. September 2022 E. 4.7.1). Zutreffend hat die Vorinstanz auf die vorwiegend lokal und zeitlich begrenzt auftretenden Konflikte in Äthiopien hingewiesen. Der Bürgerkrieg in Tigray konnte inzwischen mit der Unterzeichnung des Waffenstillstands- und Frie- densabkommens vom 2. November 2022 beigelegt werden, auch wenn die Umsetzung noch nicht abgeschlossen ist (vgl. Urteil E–6634/2019 E. 7.4.2). Die Sicherheitslage in der Herkunftsregion des Beschwerdeführers, Oro- mia, ist nur in West-Oromia von einem Klima erhöhter Gewalt beherrscht, da sich dort die Oromo Befreiungsfront mit staatlichen Sicherheitskräften seit 2019 einen Guerillakrieg liefert. Der Beschwerdeführer kommt jedoch aus G.______-Oromia (E._______ Zone). So gibt es auch keine Hinweise darauf, dass die Versorgungslage in Äthiopien gegenwärtig ausserhalb der Tigray-Region und angrenzender Gebiete des nördlichen Äthiopiens derart desolat wäre, dass dem Beschwerdeführer der Hungertod oder schwere Gesundheitsschäden in Folge von Mangelernährung drohten. Eine solche Zuspitzung der Situation ist bei Niederlassung ausserhalb des aktuellen Krisenherdes in Nordäthiopien nicht anzunehmen (Urteil des BVGer E– 3370/2023 vom 18. September 2023 E. 9.3.3 m.w.H.). Der Beschwerdeführer verfügt über ein intaktes familiäres Beziehungsnetz. Ein Grossteil seiner Familie, mit der er während des Asylverfahrens weiter- hin Kontakt hatte, lebt immer noch in seinem Heimatdorf (SEM-Akten […]- 28/16 F9–F13, F22). Auch im Übrigen ist mit der Vorinstanz übereinstim- mend festzuhalten, dass es keine konkreten Anhaltspunkte dafür gibt, der Beschwerdeführer würde bei einer Rückkehr aus individuellen Gründen in eine existenzbedrohende Situation geraten (vgl. Verfügung vom 22. Feb- ruar 2023, SEM-Akten […]-47/16 Ziff. III.2 S. 13). Da die Eltern bereits seit langer Zeit einen (…) besitzen (SEM-Akten […]-28/16 F29-38) und in der Lage waren, dem Beschwerdeführer die Ausreise in Höhe von 206'000 Birr (ungefähr USD 4000.–) zu finanzieren (SEM-Akten […]-14/9 F5.01), darf</w:t>
      </w:r>
    </w:p>
    <w:p>
      <w:r>
        <w:t>E-1680/2023 Seite 15 davon ausgegangen werden, dass dem Beschwerdeführer bei einer Rück- kehr genügend finanzielle Mittel zur Verfügung stehen werden. 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 chung der Verfahrenskosten zu verwenden. (Dispositiv nächste Seite)</w:t>
      </w:r>
    </w:p>
    <w:p>
      <w:r>
        <w:t>E-1680/2023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