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E-1680/2015 vom 21. September 2017</w:t>
      </w:r>
    </w:p>
    <w:p>
      <w:r>
        <w:t>Bundesverwaltungsgericht, 2017-09-21, DE</w:t>
      </w:r>
    </w:p>
    <w:p>
      <w:r>
        <w:rPr>
          <w:b/>
        </w:rPr>
        <w:t xml:space="preserve">Quelle: </w:t>
      </w:r>
      <w:r>
        <w:t>https://mcp.opencaselaw.ch/entscheid/bvger_E-1680_2015</w:t>
      </w:r>
    </w:p>
    <w:p>
      <w:r>
        <w:t>FR: TAF E-1680/2015 du 21 septembre 2017</w:t>
      </w:r>
    </w:p>
    <w:p>
      <w:r>
        <w:t>IT: TAF E-1680/2015 del 21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in formeller Hinsicht unter Verweis auf die Zwischenverfügung vom 8. September 2016 im Verfahren des Sohnes der Beschwerdeführerin (...) festzuhalten, dass die Beschwerdeverfahren in zeitlicher Hinsicht koordiniert werden. Der in der gemeinsamen Rechtsschrift vom 13. März 2015 gestellte Antrag auf Anordnung einer mündlichen Verhandlung ist abzuweisen, zumal das Beschwerdeverfahren in der Regel schriftlich geführt wird und vorliegend keine Veranlassung besteht, davon abzuweichen. Des Weiteren ist auch der Antrag, die Frist für die Begründung der Beschwerde sei um einen weiteren Monat seit der Gewährung der vollumfänglichen Akteneinsicht zu verlängern, abzuweisen, weil sich die Begründung der Beschwerde vom 13. März 2015 als rechtsgenüglich erweist. Zudem erweist sich die Beschwerdesache als weder aussergewöhnlich umfangreich noch besonders schwierig, weshalb die Voraussetzungen von Art. 53 VwVG für das Einreichen einer ergänzenden Begründung der Beschwerde innert einer angemessenen Frist nicht erfüllt sind. Auf den Antrag, das SEM sei anzuweisen, gemäss Antrag des Sohnes der Beschwerdeführerin vom 17. Dezember 2014 über den Ausstand des befragenden Mitarbeiters (...) zu entscheiden und weiter zu veranlassen, ist mangels Zuständigkeit des Gerichts nicht einzutreten. Des Weitern ist in Bezug auf den wiederholt gestellten Antrag auf vollumfängliche Akteneinsicht festzustellen, dass das SEM der Beschwerdeführerin mit der Zustellung der Verfügung vom 11. Februar 2015 vollumfänglich Einsicht in die editionspflichtigen Verfahrensakten, auch in alle mit D und E paginierten Akten, und in das Aktenverzeichnis gewährt hat. Des Weiteren ist festzustellen, dass es sich bei einer Vielzahl der aufgelisteten Aktenstücke um interne Aktennotizen handelt, die der Aktenedition nicht unterstehen. Die kantonalen Akten sind für den Ausgang des Beschwerdeverfahrens nicht relevant, weshalb sich das SEM in seiner Verfügung zu Recht nicht darauf abgestützt hat. Zudem ist festzustellen, dass sämtliche jeweils auf Beschwerdeebene gemachten Eingaben und die zur Stützung der Vorbringen zu den Akten gereichten Dokumente von der Beschwerdeführerin respektive von ihrem Sohn selber verfasst beziehungsweise eingereicht wurden, weshalb davon auszugehen ist, dass sie ihnen bestens bekannt sind und, wie die akribische Auflistung in den Eingaben zeigt, sie sich offensichtlich auch in deren Besitz befinden. Der Antrag auf vollumfängliche Akteneinsicht ist deshalb abzuweisen.</w:t>
      </w:r>
    </w:p>
    <w:p>
      <w:r>
        <w:rPr>
          <w:b/>
        </w:rPr>
        <w:t>E. 4.2</w:t>
      </w:r>
    </w:p>
    <w:p>
      <w:r>
        <w:t>In materieller Hinsicht stellt das Gericht in Übereinstimmung mit dem SEM fest, dass es der Beschwerdeführerin mit ihren gesuchsbegründenden Vorbringen offensichtlich nicht gelingt, Asylgründe im Sinne von Art. 3 AsylG darzutun. Auf die ausführliche Erwägung in Bezug auf den Heimatstaat Belarus kann vorab vollumfänglich verwiesen werden (E. 1 der angefochtenen Verfügung). In der Beschwerde wird diesbezüglich nicht Einwand erhoben, vielmehr wird ausdrücklich festgehalten, "besondere" Schikanen durch die Behörden Belarus entzögen sich den Kenntnissen der Beschwerdeführenden (Beschwerdeeingabe S. 10). Soweit das SEM sich auch zum Herkunftsstaat Deutschland äussert, ist in Übereinstimmung mit den diesbezüglichen Ausführungen in der angefochtenen Verfügung festzustellen, dass der Bundesrat Deutschland gestützt auf Art. 6a Abs. 2 Bst. a AsylG als sicheren Heimat- oder Herkunftsstaat bezeichnet hat, in welchem Sicherheit vor Verfolgung besteht. Zudem zeigen die von der Beschwerdeführerin und ihrem Sohn eingereichten Akten gerade auf, dass Deutschland ein Rechtsstaat ist, der die Grund- und Menschenrechte (insbesondere auch die Religionsfreiheit und das Diskriminierungsverbot) gewährt, anwendet und wahrt. Sowohl die Behörden als auch die Gerichte sind an die Grundrechte gebunden und halten diese ein. Dass das deutsche Bundesverfassungsgericht und der Europäische Gerichtshof für Menschenrechte (EGMR) in Einzelfällen zum Schluss gelangen, dass die Grund- und Menschenrechte eines Beschwerdeführers beziehungsweise einer Beschwerdeführerin von einer Behörde oder von einem Gericht verletzt wurden, spricht nicht gegen die Achtung der Grund- und Menschenrechte, sondern für einen gut funktionierenden Rechtsstaat. Die Beschwerdeführerin hat in den von ihr dokumentierten Verfahren den Rechtsweg beschritten, was gerade für einen gut funktionierenden Rechtsstaat und die Einhaltung der Grund- und Menschenrechte in Deutschland spricht. Somit kann ausgeschlossen werden, dass sich die deutschen Gerichte, Staatsanwaltschaften (insbesondere jene von [...]) und Behörden (einschliesslich Bundeskanzlerin und diverse Minister) sowie staatliche Menschenrechtsorganisationen und öffentlichrechtliche oder vom Staat kontrollierte Institutionen gemeinsam gegen die Beschwerdeführerin und ihren Sohn verschworen haben, nur weil sie jüdischer Abstammung sind. Die Ausführungen auf Beschwerdeebene sind offensichtlich nicht geeignet, zu einer anderen Beurteilung zu gelangen. Der Beschwerdeführerin ist es aufgrund des Gesagten nicht gelungen, die Flüchtlingseigenschaft gemäss Art. 3 AsylG nachzuweisen oder zumin-dest glaubhaft zu machen. Die Vorinstanz hat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 oder Herkunftsstaat ist demnach unter dem Aspekt von Art. 5 AsylG rechtmässig. Sodann ergeben sich weder aus den Aussagen der Beschwerdeführerin noch aus den Akten Anhaltspunkte dafür, dass sie für den Fall einer Ausschaffung in den Heimat- oder Drittstaat dort mit beachtlicher Wahrscheinlichkeit einer nach Art. 3 EMRK oder Art. 1 FoK verbotenen Strafe oder Behandlung ausgesetzt wäre. Gemäss Praxis des EGMR sowie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 oder im Drittstaat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Wie bereits in der angefochtenen Verfügung zutreffend ausgeführt wurde, sprechen weder die in Belarus herrschende politische Situation noch andere Gründe gegen die Zumutbarkeit des Wegweisungsvollzugs in diesen Staat. Zudem steht es der Beschwerdeführerin offen, sich wieder in Deutschland niederzulassen, wo sie und ihr Sohn, dessen Beschwerde mit Urteil gleichen Datums (...) abgewiesen wird, über unbefristete Aufenthaltsbewilligungen verfügen. Damit hat sie - soweit sie darauf ange-wiesen sein sollte - Zugang zu allen sozialen Leistungen, womit Deutsch-land für ihre Unterbringung und ihren Lebensunterhalt sorgt.</w:t>
      </w:r>
    </w:p>
    <w:p>
      <w:r>
        <w:rPr>
          <w:b/>
        </w:rPr>
        <w:t>E. 6.4.3</w:t>
      </w:r>
    </w:p>
    <w:p>
      <w:r>
        <w:t>Nach dem Gesagten erweist sich der Vollzug der Wegweisung auch als zumutbar.</w:t>
      </w:r>
    </w:p>
    <w:p>
      <w:r>
        <w:rPr>
          <w:b/>
        </w:rPr>
        <w:t>E. 6.5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