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E-1680/2008 vom 5. Oktober 2010</w:t>
      </w:r>
    </w:p>
    <w:p>
      <w:r>
        <w:t>Bundesverwaltungsgericht, 2010-10-05, DE</w:t>
      </w:r>
    </w:p>
    <w:p>
      <w:r>
        <w:rPr>
          <w:b/>
        </w:rPr>
        <w:t xml:space="preserve">Quelle: </w:t>
      </w:r>
      <w:r>
        <w:t>https://mcp.opencaselaw.ch/entscheid/bvger_E-1680_2008</w:t>
      </w:r>
    </w:p>
    <w:p>
      <w:r>
        <w:t>FR: TAF E-1680/2008 du 5 octobre 2010</w:t>
      </w:r>
    </w:p>
    <w:p>
      <w:r>
        <w:t>IT: TAF E-1680/2008 del 5 ottobre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 vom sprachlichen Mangel abgesehen (die Beschwerde ist nicht in einer Amtssprache des Bundes abgefasst, was indessen vom Gericht in Fällen wie dem vorliegenden toleriert werden kann) -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Bei den in Art. 3 Abs. 2 AsylG genannten Massnahmen, welche eine Gefährdung von Leib, Leben oder Freiheit bewirken, gilt die ge-setzliche Vermutung, dass diese einen weiteren Verbleib der betroffe-nen Person im Heimat- oder Herkunftsstaat unzumutbar machen. Eingriffe müssen eine gewisse Schwere erreichen, um als asylrelevant angesehen zu werden. Das Kriterium der hinreichenden Intensität erübrigt sich sodann bei den Massnahmen, welche einen unerträglichen psychischen Druck bewirken, zumal diese schon im Begriff der Unerträglichkeit des Druckes mitenthalten ist (vgl. Alberto Achermann/ Christina Hausammann, Handbuch des Asylrechts, 2. vollständig überarbeitete Auflage, Bern/Stuttgart 1991, S. 75). Lediglich geringe Beeinträchtigungen genügen dazu nicht, da das Asylrecht nicht Opfer jeglichen Unrechts schützen will. Wo die Zumutbarkeitsschwelle liegt, ist im Einzelfall festzulegen, wobei nach den verschiedenen Eingriffsarten zu unterscheiden ist (vgl. a.a.O., S. 77). Eingriffe in andere menschenrechtlich geschützte Rechtsgüter als Leib, Leben oder Freiheit, unter Umständen auch wiederholte, zu wenig intensive Eingriffe in Leib und Freiheit, gelten nach Art. 3 Abs. 2 AsylG dann als Verfolgung, wenn daraus ein unerträglicher psychischer Druck entsteht. Der durch den Eingriff entstandene unerträgliche psychische Druck ist gemäss der schweizerischen Asylpraxis dann beachtlich, wenn die Massnahmen und deren Auswirkungen den weiteren Verbleib im Heimatstaat als ob-jektiv unzumutbar erscheinen lassen. Dabei muss Ausgangspunkt im-mer ein konkreter Eingriff sein, der stattgefunden hat oder mit solcher Wahrscheinlichkeit droht, dass die Furcht vor ihm als begründet er-scheint. Auch bei Massnahmen, die einen unerträglichen psychischen Druck bewirken, muss der Eingriff aus einem der in Art. 3 Abs. 1 AsylG genannten Motive erfolgen (vgl. a.a.O., S. 79).</w:t>
      </w:r>
    </w:p>
    <w:p>
      <w:r>
        <w:rPr>
          <w:b/>
        </w:rPr>
        <w:t>E. 5.1.1</w:t>
      </w:r>
    </w:p>
    <w:p>
      <w:r>
        <w:t>Eigenen Aussagen zufolge wurde der Beschwerdeführer erstmals im (...) festgenommen, in Polizeihaft misshandelt und anschliessend während (...) inhaftiert. Im Rahmen der Ermittlungen im Zusammenhang mit der öffentlichen Versammlung vom (...) habe er (...) in (Polizei-)Gewahrsam verbracht und sei hart angepackt worden. Am (...) sei er in Polizeihaft und anschliessend bis zum (...) im Typ E-Gefängnis von C._____ inhaftiert gewesen, wobei er unter dem psychologischen Druck der Behörden und unter den schlechten Haft-bedingungen gelitten habe. Zudem sei er im (...) von Beamten der Sicherheitskräfte beleidigt und bedroht worden. Wegen der fortdauernden Nachstellungen durch die Polizei könne er nicht in seinem Haus in B._____ leben und sei gezwungen, ständig seinen Aufenthaltsort zu wechseln.</w:t>
      </w:r>
    </w:p>
    <w:p>
      <w:r>
        <w:rPr>
          <w:b/>
        </w:rPr>
        <w:t>E. 5.1.2</w:t>
      </w:r>
    </w:p>
    <w:p>
      <w:r>
        <w:t>Das Bundesverwaltungsgericht hält dazu fest, dass sich der Be-schwerdeführer eigenen Aussagen zufolge im Jahre (...) während mehreren Wochen legal in (...) aufgehalten hat, um sich einer drohenden Strafe zu entziehen (vgl. Akten BFM A5/8 S. 1 und Anhörungsprotokoll vom 16. Januar 2009 S. 2). Er ist danach freiwillig und ohne die (...) Behörden um Schutz ersucht zu haben in seinen Heimatstaat zurückgekehrt. Angesichts dieser Umstände kann angenommen werden, der Beschwerdeführer habe sich bis zu jenem Zeitpunkt in seinem Heimatstaat nicht in erheblichem Masse bedroht gefühlt. Zumindest widerspricht dieses Verhalten demjenigen einer tat-sächlich verfolgten und bedrängten Person, da diese nach Verlassen des Verfolgerstaates in aller Regel bei der ersten Gelegenheit um Schutz nachsuchen und möglichst nicht in den Verfolgerstaat zurück-kehren.</w:t>
      </w:r>
    </w:p>
    <w:p>
      <w:r>
        <w:rPr>
          <w:b/>
        </w:rPr>
        <w:t>E. 5.1.3</w:t>
      </w:r>
    </w:p>
    <w:p>
      <w:r>
        <w:t>Im Folgenden ist zu prüfen, ob nach (...) Ereignisse eingetreten sind, die den weiteren Verbleib des Beschwerdeführers im Heimatstaat als unzumutbar erscheinen lassen. Der Beschwerdeführer macht für die Zeit nach (...) keine Eingriffe in Leib und Leben geltend. Die vor-gebrachten kurzzeitigen Inhaftierungen sowie Behelligungen durch Si-cherheitskräfte vermögen sodann den Anforderungen an die Intensität und damit an die Asylrelevanz der Eingriffe nicht zu genügen.</w:t>
      </w:r>
    </w:p>
    <w:p>
      <w:r>
        <w:rPr>
          <w:b/>
        </w:rPr>
        <w:t>E. 5.2</w:t>
      </w:r>
    </w:p>
    <w:p>
      <w:r>
        <w:t>Mithin bleibt zu prüfen, ob der Beschwerdeführer allenfalls begründete Furcht hat, in Zukunft asylrelevanten Verfolgungsmassnahmen ausge-setzt zu sein.</w:t>
      </w:r>
    </w:p>
    <w:p>
      <w:r>
        <w:rPr>
          <w:b/>
        </w:rPr>
        <w:t>E. 5.2.1</w:t>
      </w:r>
    </w:p>
    <w:p>
      <w:r>
        <w:t>Flüchtling ist nicht nur, wer eine aktuelle Verfolgung geltend machen kann, sondern auch, wer vor zukünftiger Verfolgung flieht. Ist die bereits erlittene Verfolgung nicht asylrelevant, indem sie beispiels-weise zu wenig intensiv ist, muss geprüft werden, ob diese Ereignisse Anhaltspunkte für begründete Furcht vor zukünftiger Verfolgung dar-stellen können. Nicht jede noch so entfernte Möglichkeit zukünftiger Verfolgung genügt sodann für die Anerkennung der Flüchtlings-eigenschaft. Verlangt wird vielmehr, dass die Furcht vor zukünftiger Verfolgung begründet erscheint. Die subjektive Furcht muss objektiv begründet sein, das heisst sie muss angesichts der tatsächlichen Si-tuation gerechtfertigt erscheinen (vgl. Alberto Achermann/ Christina Hausammann, a.a O., S. 107 f.).</w:t>
      </w:r>
    </w:p>
    <w:p>
      <w:r>
        <w:rPr>
          <w:b/>
        </w:rPr>
        <w:t>E. 5.2.2</w:t>
      </w:r>
    </w:p>
    <w:p>
      <w:r>
        <w:t>Der Beschwerdeführer befürchtet - sollte es in einem der hängigen Strafverfahren zu einer Verurteilung kommen - , die mit Urteil vom (...) auf Bewährung ausgesetzte Strafe von (...) verbüssen zu müssen. Dazu ist festzuhalten dass dem Bundesverwaltungsgericht keine Informationen vorliegen, wonach der Beschwerdeführer im Heimatstaat rechtskräftig zu einer Freiheitsstrafe verurteilt worden wäre. Die (hypothetische) Möglichkeit einer rechtskräftigen Verurteilung, in Verbindung mit einem allfälligen Widerruf der mit Urteil vom (...) angeordneten Aussetzung der Freiheitsstrafe, genügt jedoch nicht für die Annahme einer begründeten Furcht vor Verfolgung.</w:t>
      </w:r>
    </w:p>
    <w:p>
      <w:r>
        <w:rPr>
          <w:b/>
        </w:rPr>
        <w:t>E. 5.2.3</w:t>
      </w:r>
    </w:p>
    <w:p>
      <w:r>
        <w:t>Der Beschwerdeführer hat gemäss eigenen Aussagen in den letzten (...) Jahren rund (...) in Untersuchungs- beziehungsweise in Polizeihaft verbracht, wovon (...) auf das Verfahren vor dem DGM (...) entfallen. In diesem Zusammenhang kam ihm das Gesetz zur bedingten Entlassung sowie Aussetzung des Verfahrens und der Strafen für bis zum 23. April 1999 begangene Straftaten (sog. Amnestie-Gesetz) vom 21. Dezember 2000 zugute, und das DGM (...) setzte am (...) die mit Urteil vom (...) ausgefällte Haftstrafe für eine Probezeit von (...) Jahren aus. Obschon gemäss Angaben der Schweizerischen Botschaft in Ankara gegen den Beschwerdeführer auf lokaler Ebene ein Festnahmebefehl des (...) besteht, wurde dieser nach seiner Inhaftierung im (...) wieder auf freien Fuss gesetzt. Auf nationaler Ebene besteht gegen den Beschwerdeführer kein Haftbefehl, und es wurde auch kein Passverbot erlassen. Eigenen Aussagen zufolge war es dem Beschwerdeführer ohne Weiteres mög-lich, sich im (...) einen Reisepass ausstellen zu lassen (vgl. Anhörungsprotokoll vom 16. Januar 2009 S. 1), woraus geschlossen werden kann, er stehe nicht im Fokus der heimatlichen Behörden, welche offensichtlich nicht von einer Flucht- oder Verdunkelungsgefahr ausgehen. Der Beschwerdeführer selbst gab sodann anlässlich der Anhörung vom 28. Juni 2007 an, unter psychischen Störungen in Form von Verfolgungswahn zu leiden (vgl. Pro-tokoll S. 6). Nach dem Gesagten ist jedenfalls festzuhalten, dass sich die subjektive Angst des Beschwerdeführers vor zukünftiger Verfolgung objektiv nicht be-gründen lässt, weshalb die Vorbringen den Anforderungen an die Asyl-relevanz nicht zu genügen vermögen.</w:t>
      </w:r>
    </w:p>
    <w:p>
      <w:r>
        <w:rPr>
          <w:b/>
        </w:rPr>
        <w:t>E. 5.2.4</w:t>
      </w:r>
    </w:p>
    <w:p>
      <w:r>
        <w:t>Zusammenfassend ist festzuhalten, dass der Beschwerdeführer weder eine bereits erlittene, asylrelevante Verfolgung noch eine ob-jektiv begründete Furcht vor zukünftiger Verfolgung glaubhaft machen kann, weshalb seine Vorbringen den Anforderungen an die Asyl-relevanz gemäss Art. 3 AsylG insgesamt nicht zu genügen vermögen. Nach dem Gesagten erübrigt es sich, auf seine weiteren Vorbringen in der Rechtsmitteleingabe einzugehen, weil sie am Ergebnis nichts ändern können. Die Vorinstanz hat demnach zu Recht die Erteilung der Einreisebewilligung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von Fr. 600.- (Art. 1-3 des Reglements vom 21. Februar 2008 über die Kosten und Entschädigungen vor dem Bundesverwaltungsgericht [VGKE, SR 173.320.2]) dem Beschwerdeführer aufzuerlegen (Art. 63 Abs. 1 VwVG). Aus verwaltungsökonomischen Gründen ist indessen auf die Erhebung von Verfahrenskosten zu verzichten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