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E-1676/2023 vom 24. Mai 2023</w:t>
      </w:r>
    </w:p>
    <w:p>
      <w:r>
        <w:t>Bundesverwaltungsgericht, 2023-05-24, FR</w:t>
      </w:r>
    </w:p>
    <w:p>
      <w:r>
        <w:rPr>
          <w:b/>
        </w:rPr>
        <w:t xml:space="preserve">Quelle: </w:t>
      </w:r>
      <w:r>
        <w:t>https://mcp.opencaselaw.ch/entscheid/bvger_E-1676_2023</w:t>
      </w:r>
    </w:p>
    <w:p>
      <w:r>
        <w:t>FR: TAF E-1676/2023 du 24 mai 2023</w:t>
      </w:r>
    </w:p>
    <w:p>
      <w:r>
        <w:t>IT: TAF E-1676/2023 del 24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Le Tribunal est donc compétent pour connaître du présent recours.</w:t>
      </w:r>
    </w:p>
    <w:p>
      <w:r>
        <w:rPr>
          <w:b/>
        </w:rPr>
        <w:t>E. 1.2</w:t>
      </w:r>
    </w:p>
    <w:p>
      <w:r>
        <w:t>L'intéressée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elle se plaint d'abord d'une instruction insuffisante ainsi que d'un établissement incomplet des faits pertinents relatifs à son état de santé, notamment en lien avec les mauvais traitements prétendument subis en Croatie. Elle reproche également au SEM de ne pas avoir examiné si elle aura concrètement accès en Croatie au traitement antiviral nécessaire pour son infection par le VIH.</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aucun manquement de la part du SEM ne saurait être retenu quant à la situation médicale de l'intéressée. Il ressort en effet du dossier que celle-ci a pu consulter des médecins et un infirmier en psychiatrie pour ses diverses affections, et que des diagnostics ont pu être posés (cf. Faits, let. C et F. à I.). Le SEM a en outre statué sur la base des déclarations de l'intéressée et des documents médicaux figurant au dossier, en prenant en considération les éléments dont il avait alors connaissance. Ceux-ci ne font pas ressortir la nécessité d'instruire davantage la situation médicale de la recourante. Le seul fait qu'elle ait demandé à voir un psychologue et un gynécologue ne contraignait pas le SEM à surseoir à statuer, ni à entreprendre des mesures d'instruction supplémentaires, les éléments du dossier ne laissant en effet pas entrevoir que la recourante souffrait de lourds problèmes de santé qui n'étaient pas établis à satisfaction. Partant, l'autorité intimée était fondée à statuer sans procéder à d'autres mesures d'investigation, ni attendre l'établissement d'autres rapports médicaux. Le SEM n'a par conséquent pas violé son devoir d'instruction d'office s'agissant de l'état de santé de la recourante. S'agissant de l'appréciation du degré de gravité de l'infection par le VIH en lien avec le transfert de l'intéressée en Croatie et des conditions d'accès au traitement médicamenteux dans ce pays, cette question relève du fond et sera examinée ci-après.</w:t>
      </w:r>
    </w:p>
    <w:p>
      <w:r>
        <w:rPr>
          <w:b/>
        </w:rPr>
        <w:t>E. 2.3</w:t>
      </w:r>
    </w:p>
    <w:p>
      <w:r>
        <w:t>La recourante reproche ensuite au SEM de ne pas avoir suffisamment motivé sa décision en lien avec la situation des requérants d'asile refoulés par la force aux frontières croates. L'autorité de première instance aurait en outre mal apprécié les faits en minimisant les mauvais traitements qu'elle aurait personnellement subis en Croatie.</w:t>
      </w:r>
    </w:p>
    <w:p>
      <w:r>
        <w:rPr>
          <w:b/>
        </w:rPr>
        <w:t>E. 2.3.1</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2.3.2</w:t>
      </w:r>
    </w:p>
    <w:p>
      <w:r>
        <w:t>S'agissant de la situation en Croatie, il convient de relever que la décision du SEM contient d'abondants développements sur ce sujet (cf. p. 5 s. de la décision querellée). L'autorité de première instance a, à bon escient, constaté que l'intéressée avait eu tout loisir de s'exprimer sur son séjour en Croatie et sur les violences qu'elle y aurait subies (ce qu'elle a d'ailleurs fait), lesquels sont expressément discutés dans ladite décision. Un défaut de motivation sur ce point peut donc être écarté. Quant à la critique formulée par la recourante au sujet de l'appréciation des faits du SEM, elle relève aussi du fond et sera examinée ci-après.</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y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Eurodac (règlement [UE] n° 603/2013 du Parlement européen et du Conseil du 26 juin 2013 relatif à la création d'Eurodac pour la comparaison des empreintes digitales aux fins de l'application efficace du règlement [UE] n° 604/2013),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Eurodac, que la recourante a franchi la frontière du territoire des Etats Schengen en Croatie et que ses empreintes digitales y ont été enregistrées, le (...) octobre 2022.</w:t>
      </w:r>
    </w:p>
    <w:p>
      <w:r>
        <w:rPr>
          <w:b/>
        </w:rPr>
        <w:t>E. 5.2</w:t>
      </w:r>
    </w:p>
    <w:p>
      <w:r>
        <w:t>Le 21 décembre 2022, le SEM a dès lors soumis aux autorités croates compétentes, dans les délais fixés à l'art. 21 par. 1 RD III, une requête aux fins de prise en charge de l'intéressée, fondée sur l'art. 13 par. 1 de ce même règlement.</w:t>
      </w:r>
    </w:p>
    <w:p>
      <w:r>
        <w:rPr>
          <w:b/>
        </w:rPr>
        <w:t>E. 5.3</w:t>
      </w:r>
    </w:p>
    <w:p>
      <w:r>
        <w:t>Par communication du 21 février 2023, soit dans le délai fixé par l'art. 22 par. 1 RD III, lesdites autorités ont expressément accepté de prendre en charge l'intéressée, sur la base de cette même disposition.</w:t>
      </w:r>
    </w:p>
    <w:p>
      <w:r>
        <w:rPr>
          <w:b/>
        </w:rPr>
        <w:t>E. 5.4</w:t>
      </w:r>
    </w:p>
    <w:p>
      <w:r>
        <w:t>La compétence de la Croatie pour le traitement de la demande d'asile de la recourante est donc donnée, au regard des critères de détermination de l'Etat membre responsable (art. 7 ss RD III). Ce point n'est du reste pas contesté.</w:t>
      </w:r>
    </w:p>
    <w:p>
      <w:r>
        <w:rPr>
          <w:b/>
        </w:rPr>
        <w:t>E. 6.1</w:t>
      </w:r>
    </w:p>
    <w:p>
      <w:r>
        <w:t>La recourante s'oppose toutefois à son transfert en Croatie au motif que ce pays présenterait des défaillances systémiques dans la procédure d'asile. Elle invoque, de manière générale, les mauvaises conditions d'accueil et de prise en charge des requérants d'asile dans ce pays, notamment pour les personnes particulièrement vulnérables comme elle, les violences policières contre ces derniers, l'absence de recours effectif contre celles-ci et les risques de "push-backs" illégaux.</w:t>
      </w:r>
    </w:p>
    <w:p>
      <w:r>
        <w:rPr>
          <w:b/>
        </w:rPr>
        <w:t>E. 6.2</w:t>
      </w:r>
    </w:p>
    <w:p>
      <w:r>
        <w:t>Conformément à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 10 décembre 1984 contre la torture et autres peines ou traitements cruels, inhumains ou dégradants (Conv. torture, RS 0.105).</w:t>
      </w:r>
    </w:p>
    <w:p>
      <w:r>
        <w:rPr>
          <w:b/>
        </w:rPr>
        <w:t>E. 6.4</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du Tribunal E-1488/2020 précité consid. 9.5).</w:t>
      </w:r>
    </w:p>
    <w:p>
      <w:r>
        <w:rPr>
          <w:b/>
        </w:rPr>
        <w:t>E. 6.6</w:t>
      </w:r>
    </w:p>
    <w:p>
      <w:r>
        <w:t>Par conséquent, l'application de l'art. 3 par. 2 du règlement Dublin III ne se justifie pas en l'espèce. Les explications générales et abstraites de la recourante relatives à la situation en Croatie ne permettent pas de parvenir à un constat différent.</w:t>
      </w:r>
    </w:p>
    <w:p>
      <w:r>
        <w:rPr>
          <w:b/>
        </w:rPr>
        <w:t>E. 7.1</w:t>
      </w:r>
    </w:p>
    <w:p>
      <w:r>
        <w:t>La recourante s'oppose encore à son transfert vers la Croatie, car elle y aurait été maltraitée par la police lors de son interpellation. Rappelant que, selon elle, ses problèmes de santé n'avaient pas été suffisamment instruits, elle a relevé que les éléments figurant au dossier permettaient de démonter qu'elle avait été victime de mauvais traitements et que son retour en Croatie, où ceux-ci avaient, en partie, eu lieu, emporterait pour elle de graves conséquences psychiques. Elle a encore insisté sur le fait que ce pays n'était pas doté d'un système d'identification des victimes de torture, ce qui empêcherait une prise en charge adéquate la concernant. En outre, elle a émis des doutes quant à l'accès à une procédure d'asile équitable et respectueuse des droits fondamentaux. Elle a invoqué une violation de l'art. 17 par. 1 du règlement Dublin III en lien avec les art. 3, 8, 13 et 17 CEDH ainsi que 3 et 14 Conv. torture, ainsi qu'en lien avec l'art. 29a al. 3 de l'ordonnance 1 sur l'asile du 11 août 1999 (OA 1, RS 142.311). Elle a également fait valoir une violation de l'art. 2 let. d de la Convention du 18 décembre 1979 sur l'élimination de toutes les formes de discrimination à l'égard des femmes (CEDEF, RS 0.108).</w:t>
      </w:r>
    </w:p>
    <w:p>
      <w:r>
        <w:rPr>
          <w:b/>
        </w:rPr>
        <w:t>E. 7.2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La recourante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la recourante n'a fourni aucun élément susceptible de démontrer que, dans le cadre de l'examen de sa demande d'asile,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En particulier, on ne saurait déduire de l'ordre de quitter le territoire croate reçu par l'intéressée, que sa demande d'asile, après son dépôt, ne sera pas traitée dans ce pays de manière régulière, étant encore rappelé que les autorités croates ont expressément accepté de la prendre en charge.</w:t>
      </w:r>
    </w:p>
    <w:p>
      <w:r>
        <w:rPr>
          <w:b/>
        </w:rPr>
        <w:t>E. 7.4</w:t>
      </w:r>
    </w:p>
    <w:p>
      <w:r>
        <w:t>Les mauvais traitements qu'elle aurait subis lors de son interpellation et son séjour d'une journée en Croatie ne sont en l'état ni étayés, ni décisifs, et ne suffisent pas à établir qu'elle aurait subi de la part de la police croate des traitements contraires aux art. 3 CEDH ou 3 Conv. torture. Surtout, les allégations de l'intéressée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qu'elle dit avoir connue après son interpellation, en tant que personne étrangère en situation irrégulière. La recourante n'a pas non plus démontré, ni même allégué,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 européenne des droits de l'homme (CourEDH ; cf. arrêt du Tribunal F-1532/2022 du 8 avril 2022 consid. 8.3 et jurisp. cit. ainsi qu'art. 26 de la directive Accueil).</w:t>
      </w:r>
    </w:p>
    <w:p>
      <w:r>
        <w:rPr>
          <w:b/>
        </w:rPr>
        <w:t>E. 7.5</w:t>
      </w:r>
    </w:p>
    <w:p>
      <w:r>
        <w:t>La recourante se plaint également d'atteintes à la santé et doute pouvoir obtenir en Croatie une prise en charge adéquate. Il ressort du dossier qu'elle présente une infection par le VIH diagnostiquée en 2007 et traitée depuis lors. Actuellement, son état général est bon, la maladie est asymptomatique et le traitement a pu être réduit à un antiviral (Triumeq). Elle a évoqué être constipée, ballonnée et présenter un reflux ainsi que des brûlures gastriques, qui sont traitées par un antiacide et antisécrétoire gastrique (Pantozol). Elle souffre encore de dorsalgie, soulagée par un analgésique et anti-inflammatoire (Flector patch) ainsi que du Voltaren Doloplus. L'échographie abdominale faite en Suisse a révélé la présence d'un calcul d'environ un centimètre de diamètre situé dans le fond de la vésicule biliaire, sans signe en faveur d'une cholécystite. Le médecin n'a pas relevé la nécessité d'une intervention ou d'une prise en charge. Elle aurait en outre des varices ainsi que des hémorroïdes soulagées par l'application d'une crème. Elle a encore décrit souffrir de fréquents maux de tête et de flatulences, pour lesquels du Dafalgan et du Flatulex lui ont été prescrits, ainsi que de douleurs sus-pubiennes. Sur le plan psychologique, elle présente des troubles qui résulteraient des difficultés qu'elle aurait rencontrées dans son pays d'origine et pendant son trajet migratoire, en particulier en Croatie. Le 31 janvier 2023, elle a également relaté avoir parfois des idées noires, mais sans projet de passer à l'acte suicidaire (cf. Faits, let. H.), troubles qu'elle n'a plus évoqués ultérieurement, notamment lors des quatre consultations en février 2023 (cf. Faits, let. I.). Elle a cependant fait part d'une perte d'appétit et d'insomnies, pour lesquelles elle a reçu du Redormin en cas de besoin ainsi que des tisanes apaisantes. Au stade du recours, elle a dit attendre un prochain rendez-vous pour un suivi psychiatrique ainsi qu'un rendez-vous chez une gynécologue au vu de ses troubles menstruels.</w:t>
      </w:r>
    </w:p>
    <w:p>
      <w:r>
        <w:rPr>
          <w:b/>
        </w:rPr>
        <w:t>E. 7.5.1</w:t>
      </w:r>
    </w:p>
    <w:p>
      <w:r>
        <w:t>Compte tenu de la jurisprudence restrictive en la matière, il y a lieu de considérer, à l'instar du SEM, que les affections présentées par la recourante ne sont pas d'une gravité telle qu'il se justifierait de renoncer à son transfert vers la Croatie (cf., à ce sujet, arrêt de la CourEDH Paposhvili c. Belgique, arrêt de la Grande Chambre du 13 décembre 2016 [req. n°41738/10]). En effet, force est de constater que le dossier ne contient aucun indice de l'existence de maladies d'une gravité ou d'une spécificité telle qu'elles ne pourraient pas être traitées en Croatie (par rapport au VIH, cf. notamment l'arrêt du Tribunal D-1617/2023 du 30 mars 2023 consid. 9.4.1 s. ; sur les possibilités de prise en charge médicale dans le domaine de l'asile en Croatie, cf. notamment arrêts du Tribunal E-3771/2022 du 2 novembre 2022 consid. 6.4 et E-4732/2022 du 31 octobre 2022 consid. 6.3.4). 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Au surplus, même si l'intéressée devait manifester des tendances suicidaires avant son transfert, il est rappelé que, selon la pratique du Tribunal, de telles tendances,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reviendra également, le cas échéant, aux thérapeutes de la recourante de la préparer à la perspective de son transfert.</w:t>
      </w:r>
    </w:p>
    <w:p>
      <w:r>
        <w:rPr>
          <w:b/>
        </w:rPr>
        <w:t>E. 7.5.3</w:t>
      </w:r>
    </w:p>
    <w:p>
      <w:r>
        <w:t>Dès lors, il y a lieu de retenir que l'état de santé de la recourante ne saurait faire obstacle à l'exécution de son transfert vers la Croatie.</w:t>
      </w:r>
    </w:p>
    <w:p>
      <w:r>
        <w:rPr>
          <w:b/>
        </w:rPr>
        <w:t>E. 7.5.4</w:t>
      </w:r>
    </w:p>
    <w:p>
      <w:r>
        <w:t>En tout état de cause, comme il l'a relevé dans sa décision, le SEM tiendra compte de son état de santé dans le cadre des modalités de son transfert, avec une évaluation de sa capacité à être transférée et avec la transmission aux autorités croates des informations relatives à ses besoins en termes de soins de santé comme prévu par les art. 31 et 32 RD III, afin, notamment, d'assurer la continuité du traitement médicamenteux de la recourante, laquelle a donné son accord écrit à la transmission d'informations médicales.</w:t>
      </w:r>
    </w:p>
    <w:p>
      <w:r>
        <w:rPr>
          <w:b/>
        </w:rPr>
        <w:t>E. 7.6</w:t>
      </w:r>
    </w:p>
    <w:p>
      <w:r>
        <w:t>Il est encore relevé que l'art. 14 Conv. torture, relatif au droit des victimes d'actes de torture à obtenir réparation, ne trouve pas application en l'espèce (cf. arrêts du Tribunal E-750/2023 du 21 mars 2023 consid. 7.4 ; D-5478/2022 du 2 décembre 2022 consid. 7.7).</w:t>
      </w:r>
    </w:p>
    <w:p>
      <w:r>
        <w:rPr>
          <w:b/>
        </w:rPr>
        <w:t>E. 7.7</w:t>
      </w:r>
    </w:p>
    <w:p>
      <w:r>
        <w:t>En outre, si certaines dispositions de la CEDEF sont considérées en doctrine comme directement applicables (cf. ATF 137 I 305 consid. 3.2 et réf. cit.), tel n'est pas le cas de son art. 2, qui constitue une norme programmatique à l'attention du législateur national (cf. arrêt du Tribunal E-4652/2022 du 24 octobre 2022 consid. 6.3.3. et réf. cit). La recourante ne saurait donc s'en prévaloir pour s'opposer à son transfert vers la Croatie. Cela dit, elle n'a en rien démontré que son transfert l'exposerait à des formes graves de discrimination ou de violence en raison de sa qualité de femme.</w:t>
      </w:r>
    </w:p>
    <w:p>
      <w:r>
        <w:rPr>
          <w:b/>
        </w:rPr>
        <w:t>E. 7.8</w:t>
      </w:r>
    </w:p>
    <w:p>
      <w:r>
        <w:t>Par conséquent, le transfert de l'intéressée vers la Croatie n'est pas contraire aux obligations découlant de dispositions conventionnelles auxquelles la Suisse est liée.</w:t>
      </w:r>
    </w:p>
    <w:p>
      <w:r>
        <w:rPr>
          <w:b/>
        </w:rPr>
        <w:t>E. 7.9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de la recourante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8.1</w:t>
      </w:r>
    </w:p>
    <w:p>
      <w:r>
        <w:t>Au vu de ce qui précède, 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Le recours doit par conséquent être rejeté et la décision attaquée confirmée.</w:t>
      </w:r>
    </w:p>
    <w:p>
      <w:r>
        <w:rPr>
          <w:b/>
        </w:rPr>
        <w:t>E. 8.2</w:t>
      </w:r>
    </w:p>
    <w:p>
      <w:r>
        <w:t>S'avérant manifestement infondé au moment où le Tribunal statue, il est rejeté dans une procédure à juge unique, avec l'approbation d'un second juge (art. 111 let. e LAsi). Vu l'issue de la cause, il est, en outre, renoncé à un échange d'écritures (art. 111a al. 1 LAsi).</w:t>
      </w:r>
    </w:p>
    <w:p>
      <w:r>
        <w:rPr>
          <w:b/>
        </w:rPr>
        <w:t>E. 9.1</w:t>
      </w:r>
    </w:p>
    <w:p>
      <w:r>
        <w:t>La demande d'assistance judiciaire partielle devrait être rejetée et les frais de procédure être mis à la charge de l'intéressée, dès lors que les conclusions du recours sont aujourd'hui dénuées de chances de succès et que les conditions cumulatives de l'art. 65 al. 1 PA ne sont ainsi plus réalisées, indépendamment de l'indigence de la recourante (cf. art. 63 al. 1 PA et art. 2 et 3 let. a du règlement du 21 février 2008 concernant les frais, dépens et indemnités fixés par le Tribunal administratif fédéral [FITAF, RS 173.320.2]).</w:t>
      </w:r>
    </w:p>
    <w:p>
      <w:r>
        <w:rPr>
          <w:b/>
        </w:rPr>
        <w:t>E. 9.2</w:t>
      </w:r>
    </w:p>
    <w:p>
      <w:r>
        <w:t>Compte tenu cependant de la particularité du cas et du fait qu'au moment du dépôt du recours celui-ci n'était pas voué à l'échec, il est renoncé à la perception des frais de procédure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