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E-166/2022 vom 16. Dezember 2021</w:t>
      </w:r>
    </w:p>
    <w:p>
      <w:r>
        <w:t>Bundesverwaltungsgericht, 2021-12-16, DE</w:t>
      </w:r>
    </w:p>
    <w:p>
      <w:r>
        <w:rPr>
          <w:b/>
        </w:rPr>
        <w:t xml:space="preserve">Quelle: </w:t>
      </w:r>
      <w:r>
        <w:t>https://mcp.opencaselaw.ch/entscheid/bvger_E-166_2022_d20211216</w:t>
      </w:r>
    </w:p>
    <w:p>
      <w:r>
        <w:t>FR: TAF E-166/2022 du 16 décembre 2021</w:t>
      </w:r>
    </w:p>
    <w:p>
      <w:r>
        <w:t>IT: TAF E-166/2022 del 16 dicembre 2021</w:t>
      </w:r>
    </w:p>
    <w:p>
      <w:pPr>
        <w:pStyle w:val="Heading2"/>
      </w:pPr>
      <w:r>
        <w:t>Regeste</w:t>
      </w:r>
    </w:p>
    <w:p>
      <w:r>
        <w:t>Asyl (ohne Wegweisungsvollzug) (Mehrfachgesuch) | Asyl und Wegweisung (Mehrfachgesuch/Wiedererwägung); Verfügung des SEM vom 16. Dezember 2021</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105 AsylG [SR 142.31]; Art. 83 Bst. d Ziff. 1 BGG).</w:t>
      </w:r>
    </w:p>
    <w:p>
      <w:r>
        <w:t>E-166/2022 Seite 4</w:t>
      </w:r>
    </w:p>
    <w:p>
      <w:r>
        <w:rPr>
          <w:b/>
        </w:rPr>
        <w:t>E. 1.2</w:t>
      </w:r>
    </w:p>
    <w:p>
      <w:r>
        <w:t>Das Verfahren richtet sich nach dem VwVG, dem VGG und dem BGG, soweit das AsylG nichts anderes bestimmt (Art. 37 VGG und Art. 6 AsylG).</w:t>
      </w:r>
    </w:p>
    <w:p>
      <w:r>
        <w:rPr>
          <w:b/>
        </w:rPr>
        <w:t>E. 1.3</w:t>
      </w:r>
    </w:p>
    <w:p>
      <w:r>
        <w:t>Der Beschwerdeführer ist legitimiert; auf seine frist- und formgerecht eingereichte Beschwerde ist einzutreten (Art. 105 und Art. 108 Abs. 6 AsylG; Art. 37 VGG i.V.m. Art. 48 Abs. 1 und Art. 52 Abs. 1 VwVG).</w:t>
      </w:r>
    </w:p>
    <w:p>
      <w:r>
        <w:rPr>
          <w:b/>
        </w:rPr>
        <w:t>E. 2</w:t>
      </w:r>
    </w:p>
    <w:p>
      <w:r>
        <w:t>Die Kognition des Bundesverwaltungsgerichts und die zulässigen Rügen richten sich im Asylbereich nach Art. 106 Abs. 1 AsylG.</w:t>
      </w:r>
    </w:p>
    <w:p>
      <w:r>
        <w:rPr>
          <w:b/>
        </w:rPr>
        <w:t>E. 3</w:t>
      </w:r>
    </w:p>
    <w:p>
      <w:r>
        <w:t>Die Beschwerde ist im Verfahren einzelrichterlicher Zuständigkeit mit Zu- stimmung eines zweiten Richters oder einer zweiten Richterin zu behan- deln, weil sie sich im Urteilszeitpunkt als offensichtlich begründet erweist (Art. 111 Bst. e AsylG).</w:t>
      </w:r>
    </w:p>
    <w:p>
      <w:r>
        <w:rPr>
          <w:b/>
        </w:rPr>
        <w:t>E. 4</w:t>
      </w:r>
    </w:p>
    <w:p>
      <w:r>
        <w:t>Die Beschwerdeeingabe richtet sich ausdrücklich nur gegen die Feststel- lung des SEM, der Beschwerdeführer erfülle die Flüchtlingseigenschaft nicht (Dispositivziffer 1 der angefochtenen Verfügung), gegen die Ableh- nung des Mehrfachgesuchs (Dispositivziffer 2) sowie gegen die Anordnung der Wegweisung (Dispositivziffer 3). Nicht Gegenstand des vorliegenden Verfahrens sind die Ziffern 5 und 6 des Dispositivs der angefochtenen Ver- fügung (Abweisung des Gesuches um Erlass der Verfahrenskosten und Erhebung einer Gebühr von Fr. 600.–).</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Wer um Asyl nachsucht, muss die Flüchtlingseigenschaft nachweisen oder zumindest glaubhaft machen. Unglaubhaft sind insbesondere Vorbrin- gen, die in wesentlichen Punkten zu wenig begründet oder in sich</w:t>
      </w:r>
    </w:p>
    <w:p>
      <w:r>
        <w:t>E-166/2022 Seite 5 widersprüchlich sind, den Tatsachen nicht entsprechen oder massgeblich auf gefälschte oder verfälschte Beweismittel abgestützt werden (Art. 7 AsylG).</w:t>
      </w:r>
    </w:p>
    <w:p>
      <w:r>
        <w:rPr>
          <w:b/>
        </w:rPr>
        <w:t>E. 6.1</w:t>
      </w:r>
    </w:p>
    <w:p>
      <w:r>
        <w:t>Im März 2011 brach in Syrien nach regimekritischen Demonstrationen und zunehmend gewaltsamer Repression seitens der staatlichen syrischen Sicherheitskräfte ein Konflikt aus, der schliesslich in einen offenen Bürger- krieg mündete. Die damit in Zusammenhang stehende menschenrechtli- che und politische Situation blieb seither anhaltend sehr schwierig und volatil (vgl. aus der publizierten Rechtsprechung des Bundesverwaltungs- gerichts BVGE 2015/3 E. 6.2, Referenzurteil D-5779/2013 vom 25. Feb- ruar 2015 E. 5.3 und 5.7.2, BVGE 2020 VI/4 E. 5.3). Am 8. Dezember 2024 kam es in Syrien zum Sturz des bisherigen staatlichen Regimes unter Prä- sident Bashar al-Assad, wodurch die mehr als fünfzigjährige Herrschaft der Assad-Familie endete. Seither hat sich unter dem Vorsitz von Ahmed al- Sharaa, dem Anführer des Hay’at Tahrir al-Sham (HTS; Komitee zur Be- freiung der Levante), der wichtigsten Gruppierung innerhalb der für den Umsturz verantwortlichen Koalition bewaffneter Oppositionsgruppen, eine Übergangsregierung gebildet. Am 13. März 2025 wurde eine sogenannte «Verfassungserklärung» verabschiedet, die als rechtliche Grundlage für die politische Übergangsphase dienen soll. Die Verfassungserklärung und die konkreten Modalitäten der staatlichen Reformen bleiben umstritten, wo- bei insbesondere die wichtigsten syrisch-kurdischen Akteure, darunter na- mentlich die hinter der Autonomen Administration Nord- und Ostsyrien (englisch «Democratic Autonomous Administration of North and East Sy- ria» [DAANES]) stehenden politischen Kräfte, eine ablehnende Haltung vertreten. Die Frage, wie sich die Situation in Syrien weiter entwickeln wird, ist zum heutigen Zeitpunkt als offen zu bezeichnen. Dies betrifft eine weite Bandbreite von Aspekten wie die territoriale Kontrolle, die Durchsetzung des staatlichen Gewaltmonopols, die allgemeine Sicherheit sowie die öko- nomische und humanitäre Lage (vgl. zum Ganzen EUROPEAN UNION AGENCY FOR ASYLUM, Syria: Country Focus, Country of Origin Information Report, März 2025, S. 19 ff.; INTERNATIONAL CRISIS GROUP, What lies in store for Syria as a new government takes power?, 25. April 2025; MINISTE- RIE VAN BUITENLANDSE ZAKEN [Niederländisches Ministerium für auswärtige Angelegenheiten], Algemeen ambtsbericht Syrië, Mai 2025, S. 8 ff.).</w:t>
      </w:r>
    </w:p>
    <w:p>
      <w:r>
        <w:rPr>
          <w:b/>
        </w:rPr>
        <w:t>E. 6.2</w:t>
      </w:r>
    </w:p>
    <w:p>
      <w:r>
        <w:t>Bei der Prüfung der Flüchtlingseigenschaft interessiert zwar in erster Linie die im Zeitpunkt der Ausreise der asylsuchenden Person bestehende Verfolgungssituation. Nach Lehre und Praxis wird jedoch dann auf die</w:t>
      </w:r>
    </w:p>
    <w:p>
      <w:r>
        <w:t>E-166/2022 Seite 6 Gefährdungslage im Moment des Asylentscheides abgestellt, wenn sich die Lage im Heimatstaat zwischen Ausreise und Asylentscheid massge- blich zu Gunsten oder zu Lasten der asylsuchenden Person verändert hat (vgl. BVGE 2011/51 E. 6.1 m.w.N.).</w:t>
      </w:r>
    </w:p>
    <w:p>
      <w:r>
        <w:rPr>
          <w:b/>
        </w:rPr>
        <w:t>E. 6.3</w:t>
      </w:r>
    </w:p>
    <w:p>
      <w:r>
        <w:t>Gemäss Art. 61 Abs. 1 VwVG entscheidet das Bundesverwaltungsge- richt in der Sache selbst oder weist diese ausnahmsweise mit verbindlichen Weisungen an die Vorinstanz zurück. Eine Kassation und Rückweisung an die Vorinstanz ist insbesondere angezeigt, wenn weitere Tatsachen festge- stellt werden müssen und ein umfassendes Beweisverfahren durchzufüh- ren ist. Die in diesen Fällen fehlende Entscheidungsreife kann grundsätz- lich zwar auch durch die Beschwerdeinstanz selbst hergestellt werden, wenn dies im Einzelfall aus prozess-ökonomischen Gründen angebracht erscheint; sie muss dies aber nicht (vgl. BVGE 2012/21 E. 5).</w:t>
      </w:r>
    </w:p>
    <w:p>
      <w:r>
        <w:rPr>
          <w:b/>
        </w:rPr>
        <w:t>E. 6.4</w:t>
      </w:r>
    </w:p>
    <w:p>
      <w:r>
        <w:t>Auch wenn die künftige Entwicklung der allgemeinen Lage in Syrien derzeit noch nicht absehbar ist, stellt sich dennoch bereits jetzt die Frage, welche Schlüsse im vorliegenden Fall aus dem Sturz des bisherigen staat- lichen Regimes zu ziehen sind. Dabei ist nicht nur eine Beurteilung der aktuellen Situation in Syrien vor dem Hintergrund der Ereignisse seit dem</w:t>
      </w:r>
    </w:p>
    <w:p>
      <w:r>
        <w:rPr>
          <w:b/>
        </w:rPr>
        <w:t>E. 7</w:t>
      </w:r>
    </w:p>
    <w:p>
      <w:r>
        <w:t>Nach dem Gesagten ist die Beschwerde gutzuheissen. Das SEM ist aufzufordern, die erforderlichen Massnahmen durchzuführen und gestützt auf die entsprechenden Erkenntnisse das Asylgesuch des Beschwerdeführers erneut zu prüfen und zu entscheiden. Vor diesem Hintergrund erübrigt sich eine weitere Auseinandersetzung mit der Beschwerdeschrift und der Replik sowie den eingereichten Beweismitteln, da die Beschwerdeakten zum integralen Bestandteil des wieder aufzunehmenden erstinstanzlichen Asylverfahrens werden und insofern der Beurteilungskompetenz der Vorinstanz liegen.</w:t>
      </w:r>
    </w:p>
    <w:p>
      <w:r>
        <w:rPr>
          <w:b/>
        </w:rPr>
        <w:t>E. 8</w:t>
      </w:r>
    </w:p>
    <w:p>
      <w:r>
        <w:t>Dezember 2024 vorzunehmen. Sondern es ist auch danach zu fragen, inwiefern sich die betreffenden Veränderungen der Lage im Heimatstaat auf die vom Beschwerdeführer geltend gemachte Furcht vor Reflexverfol- gung beziehungsweise die vorgetragenen subjektiven Nachfluchtgründe auswirken. Eine solche umfassende Beurteilung eines grundlegend verän- derten Sachverhalts ist nicht auf Beschwerdeebene, sondern im Rahmen eines erstinstanzlichen Verfahrens durch das SEM vorzunehmen. Es ist deshalb eine Kassation der angefochtenen Verfügung angezeigt. Dabei wird durch die Vorinstanz bei der Abklärung des Sachverhalts zum einen die erforderliche allgemeine Lagebeurteilung vorzunehmen, zum anderen dem Beschwerdeführer in angemessener Weise das rechtliche Gehör zu erteilen sein. Insbesondere bleibt auf diese Weise der Instanzenzug ge- wahrt, was umso wesentlicher ist, als das Bundesverwaltungsgericht im Anwendungsbereich des AsylG als einzige gerichtliche Behörde und mithin letztinstanzlich entscheidet. 7. Nach dem Gesagten ist die Beschwerde gutzuheissen. Das SEM ist auf- zufordern, die erforderlichen Massnahmen durchzuführen und gestützt auf die entsprechenden Erkenntnisse das Asylgesuch des Beschwerdeführers erneut zu prüfen und zu entscheiden. Vor diesem Hintergrund erübrigt sich</w:t>
      </w:r>
    </w:p>
    <w:p>
      <w:r>
        <w:t>E-166/2022 Seite 7 eine weitere Auseinandersetzung mit der Beschwerdeschrift und der Replik sowie den eingereichten Beweismitteln, da die Beschwerdeakten zum in- tegralen Bestandteil des wieder aufzunehmenden erstinstanzlichen Asyl- verfahrens werden und insofern der Beurteilungskompetenz der Vorinstanz liegen.</w:t>
      </w:r>
    </w:p>
    <w:p>
      <w:r>
        <w:rPr>
          <w:b/>
        </w:rPr>
        <w:t>E. 8.1</w:t>
      </w:r>
    </w:p>
    <w:p>
      <w:r>
        <w:t>Bei diesem Ausgang des Verfahrens sind keine Kosten zu erheben (Art. 63 Abs. 3 VwVG i.V.m. Art. 37 VGG).</w:t>
      </w:r>
    </w:p>
    <w:p>
      <w:r>
        <w:rPr>
          <w:b/>
        </w:rPr>
        <w:t>E. 8.2</w:t>
      </w:r>
    </w:p>
    <w:p>
      <w:r>
        <w:t>Gemäss Art. 64 Abs. 1 VwVG i.V.m. Art. 37 VGG kann die Beschwer- deinstanz der ganz oder teilweise obsiegenden Partei von Amtes wegen oder auf Begehren eine Entschädigung für die ihr erwachsenen notwendi- gen und verhältnismässig hohen Kosten zusprechen (vgl. für die Grund- sätze der Bemessung der Parteientschädigung ausserdem Art. 7 ff. des Reglements über die Kosten und Entschädigungen vor dem Bundesver- waltungsgericht vom 21. Februar 2008 [VGKE, SR 173.320.2]).</w:t>
      </w:r>
    </w:p>
    <w:p>
      <w:r>
        <w:rPr>
          <w:b/>
        </w:rPr>
        <w:t>E. 8.3</w:t>
      </w:r>
    </w:p>
    <w:p>
      <w:r>
        <w:t>Mit der Replik vom 11. Februar 2022 reichte der Beschwerdeführer eine gleichentags erstellte Honorarnote ein, die einen zeitlichen Aufwand von 6.05 Stunden zu einem Ansatz von Fr. 200.– (für das vorinstanzliche Verfahren) sowie 7 Stunden zu einem Ansatz von Fr. 200.– (für den Zeit- punkt ab Beschwerdeerhebung), Auslagen von insgesamt Fr. 26.50 sowie den Mehrwertsteuerzuschlag ausweist. Die während des vorinstanzlichen Verfahrens entstandenen Kosten sind nicht zu vergüten. Der – im Zusam- menhang mit der Beschwerdeerhebung – geltend gemachte zeitliche Auf- wand von 7 Stunden erscheint angemessen. Die Auslagen ab Beschwer- deerhebung von Fr. 13.90 sind ebenfalls zu vergüten. Demnach ist die von der Vorinstanz auszurichtende Parteientschädigung gerundet auf Fr. 1'521.70 (inkl. Auslagen und Mehrwertsteuerzuschlag) festzusetzen. (Dispositiv nächste Seite)</w:t>
      </w:r>
    </w:p>
    <w:p>
      <w:r>
        <w:t>E-166/2022 Seite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