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E-166/2022 vom 29. August 2025</w:t>
      </w:r>
    </w:p>
    <w:p>
      <w:r>
        <w:t>Bundesverwaltungsgericht, 2025-08-29, DE</w:t>
      </w:r>
    </w:p>
    <w:p>
      <w:r>
        <w:rPr>
          <w:b/>
        </w:rPr>
        <w:t xml:space="preserve">Quelle: </w:t>
      </w:r>
      <w:r>
        <w:t>https://mcp.opencaselaw.ch/entscheid/bvger_E-166_2022</w:t>
      </w:r>
    </w:p>
    <w:p>
      <w:r>
        <w:t>FR: TAF E-166/2022 du 29 août 2025</w:t>
      </w:r>
    </w:p>
    <w:p>
      <w:r>
        <w:t>IT: TAF E-166/2022 del 29 agosto 2025</w:t>
      </w:r>
    </w:p>
    <w:p>
      <w:pPr>
        <w:pStyle w:val="Heading2"/>
      </w:pPr>
      <w:r>
        <w:t>Regeste</w:t>
      </w:r>
    </w:p>
    <w:p>
      <w:r>
        <w:t>Asyl (ohne Wegweisungsvollzug)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t>E-166/2022 Seite 4</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Art. 108 Abs. 6 AsylG; Art. 37 VGG i.V.m. Art. 48 Abs. 1 und Art. 52 Abs. 1 VwVG).</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Urteilszeitpunkt als offensichtlich begründet erweist (Art. 111 Bst. e AsylG).</w:t>
      </w:r>
    </w:p>
    <w:p>
      <w:r>
        <w:rPr>
          <w:b/>
        </w:rPr>
        <w:t>E. 4</w:t>
      </w:r>
    </w:p>
    <w:p>
      <w:r>
        <w:t>Die Beschwerdeeingabe richtet sich ausdrücklich nur gegen die Feststel- lung des SEM, der Beschwerdeführer erfülle die Flüchtlingseigenschaft nicht (Dispositivziffer 1 der angefochtenen Verfügung), gegen die Ableh- nung des Mehrfachgesuchs (Dispositivziffer 2) sowie gegen die Anordnung der Wegweisung (Dispositivziffer 3). Nicht Gegenstand des vorliegenden Verfahrens sind die Ziffern 5 und 6 des Dispositivs der angefochtenen Ver- fügung (Abweisung des Gesuches um Erlass der Verfahrenskosten und Erhebung einer Gebühr von Fr. 600.–).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Unglaubhaft sind insbesondere Vorbrin- gen, die in wesentlichen Punkten zu wenig begründet oder in sich</w:t>
      </w:r>
    </w:p>
    <w:p>
      <w:r>
        <w:t>E-166/2022 Seite 5 widersprüchlich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E-166/2022 Seite 6 Gefährdungslage im Moment des Asylentscheides abgestellt, wenn sich die Lage im Heimatstaat zwischen Ausreise und Asylentscheid massge- 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Das SEM ist aufzufordern, die erforderlichen Massnahmen durchzuführen und gestützt auf die entsprechenden Erkenntnisse das Asylgesuch des Beschwerdeführers erneut zu prüfen und zu entscheiden. Vor diesem Hintergrund erübrigt sich eine weitere Auseinandersetzung mit der Beschwerdeschrift und der Replik sowie den eingereichten Beweismitteln, da die Beschwerdeakten zum integralen Bestandteil des wieder aufzunehmenden erstinstanzlichen Asylverfahrens werden und insofern der Beurteilungskompetenz der Vorinstanz liegen.</w:t>
      </w:r>
    </w:p>
    <w:p>
      <w:r>
        <w:rPr>
          <w:b/>
        </w:rPr>
        <w:t>E. 8</w:t>
      </w:r>
    </w:p>
    <w:p>
      <w:r>
        <w:t>Dezember 2024 vorzunehmen. Sondern es ist auch danach zu fragen, inwiefern sich die betreffenden Veränderungen der Lage im Heimatstaat auf die vom Beschwerdeführer geltend gemachte Furcht vor Reflexverfol- gung beziehungsweise die vorgetragenen subjektiven Nachfluchtgründe auswirken. Eine solche umfassende Beurteilung eines grundlegend verän- derten Sachverhalts ist nicht auf Beschwerdeebene, sondern im Rahmen eines erstinstanzlichen Verfahrens durch das SEM vorzunehmen. Es ist deshalb eine Kassation der angefochtenen Verfügung angezeigt. Dabei wird durch die Vorinstanz bei der Abklärung des Sachverhalts zum einen die erforderliche allgemeine Lagebeurteilung vorzunehmen, zum anderen dem Beschwerdeführer in angemessener Weise das rechtliche Gehör zu erteilen sein. Insbesondere bleibt auf diese Weise der Instanzenzug ge- wahrt, was umso wesentlicher ist, als das Bundesverwaltungsgericht im Anwendungsbereich des AsylG als einzige gerichtliche Behörde und mithin letztinstanzlich entscheidet. 7. Nach dem Gesagten ist die Beschwerde gutzuheissen. Das SEM ist auf- zufordern, die erforderlichen Massnahmen durchzuführen und gestützt auf die entsprechenden Erkenntnisse das Asylgesuch des Beschwerdeführers erneut zu prüfen und zu entscheiden. Vor diesem Hintergrund erübrigt sich</w:t>
      </w:r>
    </w:p>
    <w:p>
      <w:r>
        <w:t>E-166/2022 Seite 7 eine weitere Auseinandersetzung mit der Beschwerdeschrift und der Replik sowie den eingereichten Beweismitteln, da die Beschwerdeakten zum in- tegralen Bestandteil des wieder aufzunehmenden erstinstanzlichen Asyl- verfahrens werden und insofern der Beurteilungskompetenz der Vorinstanz liegen.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w:t>
      </w:r>
    </w:p>
    <w:p>
      <w:r>
        <w:rPr>
          <w:b/>
        </w:rPr>
        <w:t>E. 8.3</w:t>
      </w:r>
    </w:p>
    <w:p>
      <w:r>
        <w:t>Mit der Replik vom 11. Februar 2022 reichte der Beschwerdeführer eine gleichentags erstellte Honorarnote ein, die einen zeitlichen Aufwand von 6.05 Stunden zu einem Ansatz von Fr. 200.– (für das vorinstanzliche Verfahren) sowie 7 Stunden zu einem Ansatz von Fr. 200.– (für den Zeit- punkt ab Beschwerdeerhebung), Auslagen von insgesamt Fr. 26.50 sowie den Mehrwertsteuerzuschlag ausweist. Die während des vorinstanzlichen Verfahrens entstandenen Kosten sind nicht zu vergüten. Der – im Zusam- menhang mit der Beschwerdeerhebung – geltend gemachte zeitliche Auf- wand von 7 Stunden erscheint angemessen. Die Auslagen ab Beschwer- deerhebung von Fr. 13.90 sind ebenfalls zu vergüten. Demnach ist die von der Vorinstanz auszurichtende Parteientschädigung gerundet auf Fr. 1'521.70 (inkl. Auslagen und Mehrwertsteuerzuschlag) festzusetzen. (Dispositiv nächste Seite)</w:t>
      </w:r>
    </w:p>
    <w:p>
      <w:r>
        <w:t>E-166/2022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