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E-166/2009 vom 16. Mai 2012</w:t>
      </w:r>
    </w:p>
    <w:p>
      <w:r>
        <w:t>Bundesverwaltungsgericht, 2012-05-16, DE</w:t>
      </w:r>
    </w:p>
    <w:p>
      <w:r>
        <w:rPr>
          <w:b/>
        </w:rPr>
        <w:t xml:space="preserve">Quelle: </w:t>
      </w:r>
      <w:r>
        <w:t>https://mcp.opencaselaw.ch/entscheid/bvger_E-166_2009</w:t>
      </w:r>
    </w:p>
    <w:p>
      <w:r>
        <w:t>FR: TAF E-166/2009 du 16 mai 2012</w:t>
      </w:r>
    </w:p>
    <w:p>
      <w:r>
        <w:t>IT: TAF E-166/2009 del 16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Prüfungsgegenstand des vorliegenden Verfahrens sind nur noch Asylgewährung und Wegweisung, nachdem das BFM mit Verfügung vom 7. Juli 2011 seinen Entscheid vom 2. Dezember 2008 - soweit dieser sich auf die Flüchtlingseigenschaft und den Vollzug der Wegweisung bezog - teilweise in Wieder­er­wä­gung gezogen hat, die Flüchtlingseigenschaft des Be­schwerde­führers fest­ge­stellt und ihn wegen Unzulässigkeit des Wegweisungs­vollzugs vor­läu­fig in der Schweiz aufgenommen hat. Dadurch wurde die Beschwerde in Bezug auf die Flüchtlingseigenschaft und den Wegweisungsvollzug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brachte in der Verfügung vor, die Vorbringen des Beschwerdeführers zu seiner Ausreise aus Syrien seien tatsachenwidrig und es stehe fest, dass der Beschwerdeführer in Syrien von Seiten der Behörden nicht gesucht werde. Daher entbehre die behauptete Beschlagnahmung der Flugblätter in seinem Kleidergeschäft und die danach eingeleitete Suche des Beschwerdeführers jeglicher Grundlage. Die Abklärung der Botschaft habe ergeben, dass der Beschwerdeführer entgegen seinen Aussagen einen Reisepass besitze und mit diesem behördlich kontrolliert am 6. Juli 2005 ausgereist sei. Die Erklärungen des Beschwerdeführers im Rahmen des rechtlichen Gehörs müssten als reine Schutzbehauptungen gewertet werden. Es sei unglaubhaft, dass ihm der Schlepper diesen Pass bei der Ausreise 2005 abgenommen habe, weshalb der Beschwerdeführer nach Syrien zurückgekehrt sei und im Februar 2007 illegal ausgereist sei. Es sei nicht nachvollziehbar, weshalb er diesen ersten Ausreiseversuch dann bei den Befragungen verschwiegen habe und erst nachträglich vorbringe. Auch vermöge die Erklärung des Beschwerdeführers, es könne sein, dass er offiziell nicht gesucht werde in Syrien, er sei aber von den Behörden in die Enge getrieben worden, weil er nicht kooperiert habe, nicht zu überzeugen. In den Befragungen habe es hingegen noch geheissen, er sei gesucht worden, da sein Cousin ihn verraten habe. Nicht geglaubt werden könne auch die Festnahme des Beschwerdeführers wegen der Teilnahme an den Ausschreitungen in C._______ im März 2004 und seine anschliessende siebenmonatige Haft. So sei realitätsfern, dass der Beschwerdeführer sich mit vagen Versprechungen gegenüber den Behörden im März 2004 der Anweisung habe entziehen können, für diese als Spitzel tätig zu werden. Offensichtlich habe der Beschwerdeführer keinerlei Erfahrung mit den heimischen Behörden. Auch sei nicht nachvollziehbar, dass er als angeblicher Mitläufer in C._______ 2004 sieben Monate inhaftiert gewesen sein soll, zumal bekannt sei, dass die meisten Personen schon nach kurzer Zeit freigelassen worden seien.Die Schilderung der Ereignisse um die Festnahme 2004 müssten als vage und unsubstantiiert beschrieben werden, es sei nicht erkennbar, dass der Beschwerdeführer persönlich von den Ereignissen betroffen sei. Die vorgebrachte allgemeine Benachteiligung als Kurde stelle keine asylerhebliche Verfolgung im Sinne von Art. 3 AsylG dar.</w:t>
      </w:r>
    </w:p>
    <w:p>
      <w:r>
        <w:rPr>
          <w:b/>
        </w:rPr>
        <w:t>E. 5.2</w:t>
      </w:r>
    </w:p>
    <w:p>
      <w:r>
        <w:t>In seiner Beschwerde hält der Beschwerdeführer an den Ausführungen zur Ausreise fest und ergänzt, der Reisepass für die erste Ausreise habe der Schlepper von offiziellen Stellen gegen Bestechungszahlungen beschafft. Es sei bekannt, dass Korruption in Syrien weit verbreitet sei. Wenn die Botschaftsabklärung ergeben habe, dass nichts gegen den Beschwerdeführer vorliege, so sei darauf hinzuweisen, dass er zwar verhaftet, festgehalten und gefoltert worden sei, aber kein Verfahren gegen ihn eröffnet worden sei. Er habe explizit erklärt, nie vor Gericht gestellt worden zu sein. Diesbezüglich sei auf die Macht der Geheimdienste hinzuweisen, die ausschliesslich dem Präsidenten Rechenschaft schuldeten. Die Abklärungen der Schweizer Botschaft seien insofern auch nichts wert, als über das Vorgehen der Geheimdienste keine Auskunft zu erhalten sei. Auch sei das Verhalten der Behörden nach der Haftentlassung nicht zu wenig resolut und unrealistisch, hätten die Behörden doch bereits mittels der langen Haft und der dort verübten Misshandlungen starken Druck ausgeübt. Die hohe Haftstrafe sei auch entgegen der Auffassung des BFM nachvollziehbar, sei sie doch Ausdruck des selbst vom BFM ins Feld geführten teilweise unverhältnismässig harten Vorgehens der Behörden und als Polit Malus zu qualifizieren.</w:t>
      </w:r>
    </w:p>
    <w:p>
      <w:r>
        <w:rPr>
          <w:b/>
        </w:rPr>
        <w:t>E. 6.1</w:t>
      </w:r>
    </w:p>
    <w:p>
      <w:r>
        <w:t>Auch das Bundesverwaltungsgericht kommt zum Schluss, dass der Beschwerdeführer keine asylrechtlich relevante Verfolgung durch die syrischen Behörden glaubhaft machen konnte und somit die Flüchtlingseigenschaft im Sinne des Art. 3 AsylG nicht erfüllt.</w:t>
      </w:r>
    </w:p>
    <w:p>
      <w:r>
        <w:rPr>
          <w:b/>
        </w:rPr>
        <w:t>E. 6.2</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E.2.2f.; EMARK 2005 Nr. 21 E. 6.1).</w:t>
      </w:r>
    </w:p>
    <w:p>
      <w:r>
        <w:rPr>
          <w:b/>
        </w:rPr>
        <w:t>E. 6.3</w:t>
      </w:r>
    </w:p>
    <w:p>
      <w:r>
        <w:t>Zunächst bestehen Zweifel an der Glaubhaftigkeit der Umstände von Festnahme und Haft im Jahr 2004. Deren Schilderung sind vom BFM zu Recht als unsubstantiiert bewertet worden. So vermag der Beschwerdeführer nicht auszuführen, was seine Beweggründe waren, sich an den Protesten im März 2004 in C._______ zu beteiligen. Er gibt lediglich kurze und stereotype Antworten zu Protokoll wie "Ich bin Kurde und das ist mein Recht" (vgl. act. A7, S.12,13). Weiter fällt auf, dass den Aussagen zu Festnahme, Misshandlungen während der Haft und Verpflichtung zur Spitzeltätigkeit kaum Hinweise auf emotionale Reaktionen entnommen werden können, es fehlt ihnen weitgehend an Realkennzeichen, die auf tatsächlich Erlebtes schliessen lassen würden (vgl. act. A7, S. 12). Bei effektiv Verfolgten lassen sich in den Vorbringen hinsichtlich der angeführten Verfolgungssituation beziehungsweise der erlebten Geschehnisse erfahrungsgemäss zahlreiche Realkennzeichen (insbesondere Detailreichtum der Schilderung, freies assoziatives Erzählen, Interaktionsschilderungen sowie inhaltliche Besonderheiten) finden. Die Schilderungen des Beschwerdeführers zur Festnahme und Haft und der damit verbundenen Misshandlungen wirken demgegenüber aufgrund stereotyper Ausführungen aufgesetzt und konstruiert, weshalb der Schluss nahe liegt, er trage einen nicht selber erlebten Sachverhalt vor.</w:t>
      </w:r>
    </w:p>
    <w:p>
      <w:r>
        <w:rPr>
          <w:b/>
        </w:rPr>
        <w:t>E. 6.4</w:t>
      </w:r>
    </w:p>
    <w:p>
      <w:r>
        <w:t>Zudem widerspricht er sich auch bezüglich des Ausmasses seiner Beteiligung an den Protesten, sagt er doch bei der (...)-befragung aus, er habe bei den Ausschreitungen in C._______ 2004 nicht randaliert (vgl. act. A1, S.), gibt in der kantonalen Befragung demgegenüber aber zu Protokoll, er habe bei der Demonstration Sachen beschädigt (vgl. act. A7, S. 13).</w:t>
      </w:r>
    </w:p>
    <w:p>
      <w:r>
        <w:rPr>
          <w:b/>
        </w:rPr>
        <w:t>E. 6.5</w:t>
      </w:r>
    </w:p>
    <w:p>
      <w:r>
        <w:t>Die Zweifel des BFM am Realitätsgehalt der Äusserungen des Beschwerdeführers, wonach er sich mit vagen Versprechungen der Spitzeltätigkeit für die Behörden habe entziehen können, müssen als berechtigt angesehen werden angesichts des bekannten resoluten Vorgehens der syrischen Behörden. Auch ist es tatsächlich schwer nachvollziehbar, dass der Beschwerdeführer als Mitläufer sieben Monate inhaftiert gewesen sein soll, wurden die meisten Personen, die bei den Ausschreitungen im März 2004 festgenommen wurden, doch bereits nach kurzer Zeit freigelassen. Die Erklärung des Beschwerdeführers, wonach sie als Ausdruck des selbst vom BFM ins Feld geführten, teilweise unverhältnismässig harten Vorgehens der Behörden und somit als Politmalus zu qualifizieren sei, überzeugt nicht, da keine Hinweise bestehen, weshalb gerade der mitlaufende Beschwerdeführer härter bestraft worden sein sollte als die meisten anderen Teilnehmenden.</w:t>
      </w:r>
    </w:p>
    <w:p>
      <w:r>
        <w:rPr>
          <w:b/>
        </w:rPr>
        <w:t>E. 6.6</w:t>
      </w:r>
    </w:p>
    <w:p>
      <w:r>
        <w:t>Zweifel bestehen auch angesichts widersprüchlicher Aussagen am Wahrheitsgehalt des für die Ausreise geltend gemachten Ereignisses, wonach sein ihn bei den Behörden verratener Cousin mit den verbotenen Flugblättern festgenommen worden sein soll und der Beschwerdeführer von den Behörden gesucht werde. So machte der Beschwerdeführer widersprüchliche Aussagen darüber, ob das Geschäft versiegelt worden sei oder aber nicht und sein anderer Cousin dort noch arbeiten würde. Die auf Vorhalt der Widersprüche aufgeführten Erklärungen, wann er von der Versiegelung erfahren haben will, vermögen nicht zu überzeugen (vgl.act. A7,S.8;A1,S.5). Auch bleibt unverständlich, wieso der Beschwerdeführer in der Erstbefragung aussagte, er habe seinem Cousin auf dessen Wunsch hin sein Motorrad gegeben (vgl. act. A1, S.4), um dann in der kantonalen Befragung anzugeben, er wisse nicht, mit welchem Fortbewegungsmittel der Cousin unterwegs gewesen sei. Vielleicht habe der Cousin sein Motorrad genommen, seine Familie habe ihm das aber nicht mitgeteilt. Diese abweichenden Aussagen versucht er mit möglichen Verständnisschwierigkeiten zu erklären, was schon deshalb nicht überzeugt, weil der Beschwerdeführer doch mit seiner Unterschrift unter das Befragungsprotokoll die Richtigkeit und Vollständigkeit seiner Aussagen bestätigt hat (vgl. act. A7, S. 18). Nicht plausibel ist zudem an dem geltend gemachten Sachverhalt, dass sein regierungstreuer Cousin, mit dem er den Kleiderladen geführt habe, angeblich wegen der im Laden aufgefundenen politischen Flugblätter in keiner Weise behelligt worden sein soll.</w:t>
      </w:r>
    </w:p>
    <w:p>
      <w:r>
        <w:rPr>
          <w:b/>
        </w:rPr>
        <w:t>E. 6.7</w:t>
      </w:r>
    </w:p>
    <w:p>
      <w:r>
        <w:t>Die behördliche Fahndung nach dem Beschwerdeführer kann auch angesichts des Abklärungsergebnisses der Schweizer Vertretung in Damaskus, wonach der Beschwerdeführer am 6. Juli 2005 legal ausgereist sei und nicht gesucht werde, nicht geglaubt werden.</w:t>
      </w:r>
    </w:p>
    <w:p>
      <w:r>
        <w:rPr>
          <w:b/>
        </w:rPr>
        <w:t>E. 6.8</w:t>
      </w:r>
    </w:p>
    <w:p>
      <w:r>
        <w:t>Soweit der Beschwerdeführer nun in diesem Zusammenhang im Rahmen des rechtlichen Gehörs zur Botschaftsabklärung und in der Beschwerde rügt, dass er ausgesagt habe, nie vor Gericht gestellt worden zu sein, weshalb er vielleicht offiziell nicht gesucht würde, aber mit Auflagen aus dem Gefängnis entlassen worden sei, gegen die er verstossen habe, ist dem entgegenzuhalten, dass der Beschwerdeführer selbst der Aussage zustimmte, er sei seit dem Vorfall in C._______ vorbestraft und werde zur Zeit in Syrien gesucht (vgl. act. A1, S. 5). Soweit der Beschwerdeführer kritisiert, dass das Abklärungsergebnis der Botschaft, wonach der Beschwerdeführer nicht gesucht werde, auch deshalb wertlos sei, weil über das Vorgehen der Geheimdienste keine Auskunft zu erlangen sei, kann dieser Auffassung nicht gefolgt werden. In diesem Zusammenhang ist nämlich in grundsätzlicher Hinsicht zunächst festzuhalten, dass es der Schweizerischen Botschaft in Syrien über Verbindungsleute möglich ist, eine behördliche Suche festzustellen (vgl. Urteile des Bundesverwaltungsgerichts D-7460/2010 vom 25. November 2010 und E-823/2009 vom 13. März 2009 E. 5.1). Erfahrungsgemäss sind denn auch die aus den Abklärungen durch die Schweizerische Botschaft in Damaskus resultierenden Ergebnisse grundsätzlich korrekt, weshalb ihnen im Rahmen der freien Beweis­würdigung (Art. 19 VwVG i.V.m. Art. 40 des Bundesgesetzes vom 4. De­zember 1947 über den Bundeszivilprozess [BZP, SR 273]) ein hoher Beweiswert zu attestieren ist. Das Bundesverwaltungsgericht hat deshalb keinen Anlass, die Korrektheit des Abklärungsergebnisses in Frage zu stellen. In Bezug auf die Botschaftsantworten aus Syrien ist jedoch festzustellen, dass diese in der Regel sehr knapp ausfallen, indem beispielsweise ohne nähere Angaben erklärt wird, die fragliche Person werde von den syrischen Behörden nicht gesucht (bzw. wie im vorliegenden Fall: "rien contre cette personne"). Dabei wird weder erläutert, bei welchen Behörden nachgeforscht wurde, noch ist klar, was genau mit dem Begriff "gesucht" gemeint ist. Derartige rudimentäre Auskünfte mögen aber dann zu genügen, wenn den Akten - wie hier - keinerlei konkrete Hinweise auf eine asylrelevante Verfolgung durch die Behörden des Heimatlandes zu entnehmen sind (vgl. D-3608/2010 vom 29. September 2010).</w:t>
      </w:r>
    </w:p>
    <w:p>
      <w:r>
        <w:rPr>
          <w:b/>
        </w:rPr>
        <w:t>E. 6.9</w:t>
      </w:r>
    </w:p>
    <w:p>
      <w:r>
        <w:t>Auch das Abklärungsergebnis der Botschaft, wonach der Beschwerdeführer zu einem wesentlich früheren Zeitpunkt, als angegeben, mit seinem Reisepass legal ausgereist ist, lässt darauf schliessen, dass er von den syrischen Behörden zum Zeitpunkt seiner Ausreise nichts zu befürchten hatte. Seine in der Stellungnahme zur Botschaftsabklärung abgegebene Erklärung, er sei früher mit einem vom Schlepper gekauften Reisepass ausgereist, welcher ihm aber abgenommen worden sei, ist als nachträgliche Schutzbehauptung zu werten, hat er doch in der kantonalen Anhörung ausgesagt, er sei vor seiner illegalen Ausreise in die Türkei am 9. Februar 2007 nie im Ausland gewesen (vgl. act. A7, S. 8).</w:t>
      </w:r>
    </w:p>
    <w:p>
      <w:r>
        <w:rPr>
          <w:b/>
        </w:rPr>
        <w:t>E. 6.10</w:t>
      </w:r>
    </w:p>
    <w:p>
      <w:r>
        <w:t>Die allgemeine Benachteiligung als Kurde stellt keine asylerhebliche Verfolgung im Sinne von Art. 3 AsylG dar.</w:t>
      </w:r>
    </w:p>
    <w:p>
      <w:r>
        <w:rPr>
          <w:b/>
        </w:rPr>
        <w:t>E. 7</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7. Juli 2011 berücksichtigt wurden [vgl. E. 2.2]) eine asylrechtlich relevante Gefährdungssituation vor.</w:t>
      </w:r>
    </w:p>
    <w:p>
      <w:r>
        <w:rPr>
          <w:b/>
        </w:rPr>
        <w:t>E. 8</w:t>
      </w:r>
    </w:p>
    <w:p>
      <w:r>
        <w:t>Aus dem Gesagten ergibt sich zusammenfassend, dass das BFM zu Recht zur Beurteilung gelangt ist, der Beschwerdeführer habe keine asylrelevante Verfolgung glaubhaft gemacht.</w:t>
      </w:r>
    </w:p>
    <w:p>
      <w:r>
        <w:rPr>
          <w:b/>
        </w:rPr>
        <w:t>E. 9</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 Der Beschwerdeführer verfügt weder über eine ausländerrechtliche Aufenthaltsbewilligung noch über einen Anspruch auf Erteilung einer solchen. Die Wegweisung wurde demnach zu Recht angeordnet (vgl. BVGE 2009/50 E.9). Der Beschwerdeführer wurde vom BFM indessen als Flüchtling vorläufig aufgenommen; die Aufnahme erfolgte wegen Unzulässigkeit des Wegweisungsvollzuges. Damit sind die beiden anderen Bedingungen für einen Verzicht auf den Vollzug der Wegweisung (Unzumutbarkeit und Unmöglichkeit) wegen ihrer alternativen Natur - ist eine Bedingung erfüllt, ist der Vollzug der Wegweisung undurchführbar - nicht mehr zu prüfen (vgl. BVGE 2009/51 E.5.4).</w:t>
      </w:r>
    </w:p>
    <w:p>
      <w:r>
        <w:rPr>
          <w:b/>
        </w:rPr>
        <w:t>E. 10</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11</w:t>
      </w:r>
    </w:p>
    <w:p>
      <w:r>
        <w:t>Bei diesem Ausgang des Beschwerdeverfahrens wären an sich reduzierte Verfahrenskosten zu erheben (Art. 63 Abs. 1 VwVG). Indessen wur­de der mit der Beschwerdeschrift gestellte Antrag auf unentgeltliche Prozessführung im Sin­ne von Art. 65 Abs. 1 VwVG mit Zwischenverfü­gung vom 20. Januar 2009 gutgeheissen. Nachdem auch heute noch von seiner Bedürftigkeit ausgegangen werden kann, hat der Beschwerde­führer keine Verfahrenskosten zu tragen.</w:t>
      </w:r>
    </w:p>
    <w:p>
      <w:r>
        <w:rPr>
          <w:b/>
        </w:rPr>
        <w:t>E. 12</w:t>
      </w:r>
    </w:p>
    <w:p>
      <w:r>
        <w:t>Nachdem die Vorinstanz den angefochtenen Entscheid hinsichtlich des Bestehens der Flüchtlingseigenschaft teilweise in Wiedererwägung gezogen und wegen Unzulässigkeit des Wegweisungsvollzugs die vorläufige Aufnahme als Flüchtling angeordnet hat, ist der Beschwerdeführer faktisch mit seinen Beschwerdebegehren zu zwei Dritteln durchgedrungen. Somit ist ihm eine angemessene, um ein Drittel reduzierte Parteientschädigung zu entrichten (vgl. Art. 64 Abs. 1 VwVG i.V.m. Art. 37 VGG; Art. 7 ff. des Reglements vom 11. Dezember 2006 über die Kosten und Entschädigungen vor dem Bundesverwaltungsgericht [VGKE, SR 173.320.2]). Sein für das Beschwerdeverfahren mandatierter Rechtsvertreter hat mit Eingabe vom 22. Juli 2011 eine Honorarnote eingereicht. Das darin ausgewiesene Honorar (Stundensatz von Fr. 200.-) von total Fr. 2338.70.- ist auf Fr. 2218.70.- zu kürzen, da die Erstellung der Honorarnote nicht zu entschädigen ist. Es handelt sich dabei um eine Sekretariatsarbeit, deren Aufwand im Stundensatz bereits enthalten ist. Gestützt auf die in Betracht zu zie­henden Be­messungs­faktoren (Art. 9-13 VGKE) ist die angesichts des betreffenden Aufwandes als angemessen erscheinende Kostennote des heutigen Rechtsvertreters um ein Drittel zu kürzen, und dem Beschwerdeführer sind somit Fr. 1479.- (inkl. Auslagen und Mehrwertsteuer)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