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E-1669/2014 vom 5. Januar 2015</w:t>
      </w:r>
    </w:p>
    <w:p>
      <w:r>
        <w:t>Bundesverwaltungsgericht, 2015-01-05, DE</w:t>
      </w:r>
    </w:p>
    <w:p>
      <w:r>
        <w:rPr>
          <w:b/>
        </w:rPr>
        <w:t xml:space="preserve">Quelle: </w:t>
      </w:r>
      <w:r>
        <w:t>https://mcp.opencaselaw.ch/entscheid/bvger_E-1669_2014</w:t>
      </w:r>
    </w:p>
    <w:p>
      <w:r>
        <w:t>FR: TAF E-1669/2014 du 5 janvier 2015</w:t>
      </w:r>
    </w:p>
    <w:p>
      <w:r>
        <w:t>IT: TAF E-1669/2014 del 5 gennaio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Rechtsmitteleingabe des Beschwerdeführers ist zwar in englischer Sprache abgefasst. Auf die Ansetzung einer Frist zur Beschwerdeverbesserung kann indessen vorliegend praxisgemäss verzichtet werden, zumal der Eingabe genügend klare, sinngemässe Rechtsbegehren und deren Begründung zu entnehmen sind und ohne Weiteres darüber befunden werden kann. Die BFM-Verfügung vom 6. Februar 2014 ist von der Botschaft am 20. Februar 2014 mit Rückschein an den Beschwerdeführer verschickt worden. Zwar geht das Eröffnungsdatum aus dem Rückschein nicht hervor. Nachdem dieser aber gemäss Stempel bereits am 7. März 2014 wieder beim BFM einging, kann ohne Weiteres von der Rechtzeitigkeit der Beschwerde ausgegangen werden. Nach dem Gesagten ist die Beschwerde fristgerecht und in der Form akzeptiert eingereicht. Der Beschwerdeführer ist durch die angefochtene Verfügung be­sonders berührt und hat ein schutzwürdiges Interesse an deren Aufhebung beziehungsweise Änderung. Er ist daher zur Einreichung der Beschwerde legitimiert (Art. 105 und Art. 108 Abs. 1 AsylG sowie Art. 48 Abs. 1 und Art. 52 Abs. 1 VwVG). Auf die Beschwerde ist einzutreten.</w:t>
      </w:r>
    </w:p>
    <w:p>
      <w:r>
        <w:rPr>
          <w:b/>
        </w:rPr>
        <w:t>E. 1.3</w:t>
      </w:r>
    </w:p>
    <w:p>
      <w:r>
        <w:t>Gestützt auf Art. 33a Abs. 2 VwVG i.V.m. Art. 6 AsylG ergeht der vorliegende Entscheid in deutscher Sprache.</w:t>
      </w:r>
    </w:p>
    <w:p>
      <w:r>
        <w:rPr>
          <w:b/>
        </w:rPr>
        <w:t>E. 2</w:t>
      </w:r>
    </w:p>
    <w:p>
      <w:r>
        <w:t>Mit Beschwerde kann die Verletzung von Bundesrecht, einschliesslich Missbrauch und Überschreitung des Ermessens, und die unrichtige oder unvollständige Feststellung des Sachverhalts gerügt werden (Art. 106 Abs. 1 AsylG).</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 4.1 Gemäss aArt. 19 Abs. 1 AsylG kann ein Asylgesuch im Ausland bei einer schweizerischen Vertretung gestellt werden, welche es mit einem Bericht an das BFM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 4.2 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5.1</w:t>
      </w:r>
    </w:p>
    <w:p>
      <w:r>
        <w:t>Zur Begründung seines ablehnenden Entscheides sowie der Vernehmlassung führt das BFM aus, es könne darauf verzichtet werden, auf Unglaubhaftigkeitsmomente einzugehen, da die Schutzbedürftigkeit des Beschwerdeführers offensichtlich fehle. Es treffe zwar zu, dass die Inhaftierung des Beschwerdeführers einen Eingriff in seine physische Bewegungsfreiheit sowie körperliche Integrität darstelle. Es sei deshalb nachvollziehbar, dass er sich vor erneuten Übergriffen fürchte. Da jedoch die Bewilligung der Einreise nicht dem Ausgleich vergangen Unrechts diene, komme seiner Inhaftierung keine einreiserelevanten Bedeutung zu. Den Akten sei zu entnehmen, dass er freigelassen worden sei, womit auch belegt sei, dass die sri-lankischen Behörden ihn keiner Straftat mehr verdächtigen würden. Was die geltend gemachten Nachteile seitens dritter Personen betreffe, so sei von der Schutzwilligkeit und -fähigkeit des sri-lankischen Staates auszugehen und aus den Akten gehe nicht hervor, dass dies im Falle des Beschwerdeführers nicht zutreffen würde. Zudem lägen die von ihm erwähnten Ereignisse rund (...) zurück und der Beschwerdeführer habe sich erst im Frühjahr 2014 nach Erlass der angefochtenen Verfügung wieder an die Botschaft gewandt. Zwar sei nicht auszuschliessen, dass er auch nach seinem Umzug nach E._______ weiter unter der Beobachtung der sri-lankischen Behörden stehe respektive einer (...) der Armee unterstehe. Solche Massnahmen stünden aber im Zusammenhang mit der allgemeinen Bekämpfung des Terrorismus der C._______ und es komme ihnen aufgrund mangelnder Intensität kein Verfolgungscharakter im Sinne von Art. 3 AsylG zu.</w:t>
      </w:r>
    </w:p>
    <w:p>
      <w:r>
        <w:rPr>
          <w:b/>
        </w:rPr>
        <w:t>E. 5.2</w:t>
      </w:r>
    </w:p>
    <w:p>
      <w:r>
        <w:t>In seiner Rechtsmitteleingabe macht der Beschwerdeführer insbesondere geltend, die Sicherheitskräfte hätten ihn in B._______ oft aufgesucht und bedroht; mehrmals sei er verhaftet und verhört worden. Seine (...) seien verängstigt gewesen und er sei schliesslich mit (...) nach E._______ gezogen. Aber die CID-Beamten würden ihn auch dort immer noch zu Hause aufsuchen und hätten ihm eine (...) im I._______ Armeecamp auferlegt; komme er ihr nicht nach, hätten sie ihm mit Inhaftierung gedroht. Zudem machte der Beschwerdeführer geltend, er könne keine reguläre Arbeitsstelle finden. Es sei ihm aufgrund seines Hintergrundes auch nicht möglich, eine gute Arbeit zu finden, sondern er versuche mit Gelegenheitsarbeiten seine (...) durchzubringen, was aber nicht immer gelinge.</w:t>
      </w:r>
    </w:p>
    <w:p>
      <w:r>
        <w:rPr>
          <w:b/>
        </w:rPr>
        <w:t>E. 6</w:t>
      </w:r>
    </w:p>
    <w:p>
      <w:r>
        <w:t>Das Bundesverwaltungsgericht kommt nach Würdigung der Aktenlage zum Schluss, dass die vorinstanzlichen Erwägungen im Ergebnis zu bestätigen sind. Dabei sieht es keinen Grund, an der Glaubhaftigkeit der Vorbringen des Beschwerdeführers zu zweifeln, wenn auch auffällt, dass er wesentliche Vorbringen, wie etwa, er sei in B._______ mehrmals festgenommen und aufgrund der Benachteiligungen dort schliesslich nach E._______ gezogen, erst auf Beschwerdestufe geltend macht. Was die Schwierigkeiten, die er erlebe, seit er sich nun in E._______ aufhalte betrifft, nämlich die Sicherheitskräfte suchten ihn immer noch regelmässig auf und er (...), ist auf die zutreffende Würdigung in der Vernehmlassung des BFM zu verweisen, wonach es diesen Eingriffen an Intensität mangle um als ernsthafte Nachteile im Sinne von Art. 3 AsylG qualifiziert zu werden. Was die Benachteiligungen seitens bewaffneter unbekannter Drittpersonen, die ihn in B._______ immer wieder, und letztmals am (...), aufgesucht hätten (Protokoll der Anhörung vom 16. September (...), A8 S.7), ist festzuhalten, dass den so umschriebenen Benachteiligungen ebenfalls schon mangels Intensität keine Erheblichkeit im Hinblick auf eine allfällige Schutzbedürftigkeit zukommt. Im Übrigen hatte der Beschwerdeführer schon anlässlich der Anhörung geltend gemacht, die Häufigkeit dieser Besuche habe abgenommen und offenbar ist er diesbezüglich in E._______ nicht mehr belästigt worden, macht er dies doch nicht mehr geltend. Insgesamt vermögen, wie das BFM zutreffenderweise festgestellt hatte, die vom Beschwerdeführer geltend gemachten Benachteiligungen eine aktuelle Gefahr vor Verfolgung im Sinne von Art. 3 AsylG, und damit eine Schutzbedürftigkeit im Sinne der geltenden Bestimmungen, nicht zu begründen, selbst wenn aufgrund des von ihm Erlebten und des Umstandes, dass es wieder zur Festnahme von C._______ gekommen ist, die subjektiv empfundene Furcht des Beschwerdeführers nachvollziehbar ist. Daran vermögen auch die vom Beschwerdeführer geltend gemachten schwierigen Lebensumstände, wie etwa das Ringen um eine wirtschaftliche Existenzgrundlage, der Umstand, dass die Situation auch (...) belaste oder die geltend gemachten Überschwemmungen, nichts zu ändern. Zusammenfassend ist festzuhalten, dass der Beschwerdeführer zum jetzigen Zeitpunkt in Sri Lanka keiner Gefährdung im Sinne von Art. 3 AsylG ausgesetzt ist. Unter diesen Umständen hat das BFM ihm zu Recht die Erteilung der Einreisebewilligung verweigert und sein Asylgesuch abgewiesen.</w:t>
      </w:r>
    </w:p>
    <w:p>
      <w:r>
        <w:rPr>
          <w:b/>
        </w:rPr>
        <w:t>E. 7</w:t>
      </w:r>
    </w:p>
    <w:p>
      <w:r>
        <w:t>Aus diesen Erwägungen ergibt sich, dass die angefochtene Verfügung Bundesrecht nicht verletzt und den rechtserheblichen Sachverhalt richtig und unvollständig feststellt (Art. 106 Abs. 1 AsylG), weshalb die Beschwerde abzuweisen ist.</w:t>
      </w:r>
    </w:p>
    <w:p>
      <w:r>
        <w:rPr>
          <w:b/>
        </w:rPr>
        <w:t>E. 8</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kann indessen von einer Kostenauflage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