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E-1668/2023 vom 3. April 2023</w:t>
      </w:r>
    </w:p>
    <w:p>
      <w:r>
        <w:t>Bundesverwaltungsgericht, 2023-04-03, DE</w:t>
      </w:r>
    </w:p>
    <w:p>
      <w:r>
        <w:rPr>
          <w:b/>
        </w:rPr>
        <w:t xml:space="preserve">Quelle: </w:t>
      </w:r>
      <w:r>
        <w:t>https://mcp.opencaselaw.ch/entscheid/bvger_E-1668_2023</w:t>
      </w:r>
    </w:p>
    <w:p>
      <w:r>
        <w:t>FR: TAF E-1668/2023 du 3 avril 2023</w:t>
      </w:r>
    </w:p>
    <w:p>
      <w:r>
        <w:t>IT: TAF E-1668/2023 del 3 aprile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Der Beschwerdeführer bestreitet nicht, in Kroatien ein Asylgesuch gestellt zu haben. Nachdem die kroatischen Behörden innert der in Art. 25 Abs. 1 Dublin-III-VO festgelegten Frist dem Wiederaufnahmegesuch der Vorinstanz zugestimmt haben, ist die Zuständigkeit Kroatiens grundsätzlich gegeben.</w:t>
      </w:r>
    </w:p>
    <w:p>
      <w:r>
        <w:rPr>
          <w:b/>
        </w:rPr>
        <w:t>E. 4.1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4.2</w:t>
      </w:r>
    </w:p>
    <w:p>
      <w:r>
        <w:t>Kroatien ist Signatarstaat der EMRK, der FoK sowie der FK,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Wie das SEM in der angefochtenen Verfügung zu Recht dargelegt hat, bestehen zurzeit - auch unter Berücksichtigung der in der Beschwerde erwähnten Berichte diverser Organisationen, in welchen das kroatische Asylwesen kritisiert wird - im Bereich der (hier interessierenden) Wiederaufnahmeverfahren («take back») keine Gründe für die Annahme, das Asylverfahren und die Aufnahmebedingungen für Antragstellende in Kroatien würden systemische Schwachstellen im Sinn von Art. 3 Abs. 2 zweiter und dritter Satz Dublin-III-VO aufweisen (vgl. dazu statt vieler die Urteile des BVGer D-1069/2023 vom 1. März 2023 E. 7.2.1, D-5422/2022 vom 23. Januar 2023 E. 8.2 und E-5984/2022 vom 3. Januar 2023 E. 7.2).</w:t>
      </w:r>
    </w:p>
    <w:p>
      <w:r>
        <w:rPr>
          <w:b/>
        </w:rPr>
        <w:t>E. 4.3</w:t>
      </w:r>
    </w:p>
    <w:p>
      <w:r>
        <w:t>Insbesondere lassen auch die vom Beschwerdeführer bei seiner illegalen Einreise nach Kroatien angeblich erlebten Vorkommnisse (er sei geschlagen und ihm sei kein Essen gegeben worden), nicht den Schluss zu, er habe bei einer Überstellung nach Kroatien mit hoher Wahrscheinlichkeit eine unmenschliche oder erniedrigende Behandlung im Sinne von Art. 3 EMRK, Art. 3 FoK oder Art. 4 EU-Grundrechtecharta zu gewärtigen. Selbst wenn diese Vorkommnisse sich ereignet haben sollten, ist darauf hinzuweisen, dass gegen das Fehlverhalten von einzelnen Polizeibeamten in Kroatien rechtlich vorgegangen werden kann, allenfalls mit Hilfe der vor Ort tätigen karitativen Organisationen. Der Umstand, dass dies möglicherweise mit grösseren Hürden und Schwierigkeiten verbunden sein könnte als in der Schweiz, weist per se nicht auf systemische Schwachstellen im kroatischen Asylsystem hin (vgl. das Urteil des BVGer E-5614/2022 vom 19. Dezember 2022 E. 5.2).</w:t>
      </w:r>
    </w:p>
    <w:p>
      <w:r>
        <w:rPr>
          <w:b/>
        </w:rPr>
        <w:t>E. 4.4</w:t>
      </w:r>
    </w:p>
    <w:p>
      <w:r>
        <w:t>Der Vollständigkeit halber ist mit Bezug auf die (implizit) vorgebrachten sogenannten Push-backs in Kroatien folgendes festzustellen: In der angefochtenen Verfügung hat bereits die Vorinstanz gestützt auf Abklärungen der Schweizer Botschaft in Kroatien ausführlich und zutreffend dargelegt, dass von Push-backs allenfalls Personen betroffen sind, welche illegal und direkt, in der Regel von Bosnien und Herzegowina herkommend, nach Kroatien einreisen, nicht hingegen Personen, welche im Rahmen eines Dublin-Verfahrens nach Kroatien überstellt werden (vgl. dazu auch die Urteile des BVGer D-1069/2023 E. 7.2.3, E-113/2023 vom 12. Januar 2023 E. 7.4 und E-5984/2022 vom 3. Januar 2023 E. 7.4). Diesen droht grundsätzlich weder eine (Ketten-)Abschiebung noch systematische Gewaltanwendung durch die kroatische Polizei, und der Zugang zu einem rechtsstaatlichen Asyl- und Wegweisungsverfahren steht ihnen offen.</w:t>
      </w:r>
    </w:p>
    <w:p>
      <w:r>
        <w:rPr>
          <w:b/>
        </w:rPr>
        <w:t>E. 4.5.1</w:t>
      </w:r>
    </w:p>
    <w:p>
      <w:r>
        <w:t>Auch die gesundheitliche Verfassung des Beschwerdeführers steht einer Überstellung nicht entgegen.</w:t>
      </w:r>
    </w:p>
    <w:p>
      <w:r>
        <w:rPr>
          <w:b/>
        </w:rPr>
        <w:t>E. 4.5.2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Der Beschwerdeführer konnte nicht nachweisen, dass er nicht reisefähig sei oder eine Überstellung seine Gesundheit ernsthaft gefährden würde. Den im Vorverfahren eingereichten psychiatrischen Bericht, in welchem dem Beschwerdeführer eine mittelgradige Depression und eine Posttraumatische Belastungsstörung diagnostiziert werden (vgl. SEM-eAkten, [...]), greift er in der Beschwerde nicht auf und macht auch nicht geltend, eine Überstellung würde seine gesundheitliche Verfassung ernsthaft gefährden. Im Ergebnis vermag sein Gesundheitszustand eine Unzulässigkeit im Sinne dieser restriktiven Rechtsprechung nicht zu rechtfertigen. Die gesundheitlichen Probleme sind nicht von einer derartigen Schwere, dass aus humanitären Gründen von einer Überstellung abgesehen werden müsste. Im Übrigen ist davon auszugehen, dass Kroatien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Kroatien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die kroatischen Behörden vorgängig in geeigneter Weise über die spezifischen medizinischen Umstände informieren (vgl. Art. 31 f. Dublin-III-VO).</w:t>
      </w:r>
    </w:p>
    <w:p>
      <w:r>
        <w:rPr>
          <w:b/>
        </w:rPr>
        <w:t>E. 4.5.3</w:t>
      </w:r>
    </w:p>
    <w:p>
      <w:r>
        <w:t>Zusammenfassend ergibt sich, dass der Beschwerdeführer bei einer Überstellung nach Kroatien keinen im Sinne von Art. 3 Abs. 2 Dublin-III-VO gravierenden und systemischen Menschenrechtsverletzungen ausgesetzt wäre oder in eine existenzielle Notlage geraten oder ohne Prüfung seines Asylgesuchs und unter Verletzung des Non-Refoulement-Gebots in seinem Heimat- respektive Herkunftsstaat zurück überstellt würde.</w:t>
      </w:r>
    </w:p>
    <w:p>
      <w:r>
        <w:rPr>
          <w:b/>
        </w:rPr>
        <w:t>E. 4.6</w:t>
      </w:r>
    </w:p>
    <w:p>
      <w:r>
        <w:t>Nach dem Gesagten ist die Anwendung von Art. 3 Abs. 2 Dublin-III-VO nicht gerechtfertigt.</w:t>
      </w:r>
    </w:p>
    <w:p>
      <w:r>
        <w:rPr>
          <w:b/>
        </w:rPr>
        <w:t>E. 5.1</w:t>
      </w:r>
    </w:p>
    <w:p>
      <w:r>
        <w:t>Eine Anwendung der Ermessensklauseln von Art. 17 Abs. 1 Dublin-III-VO respektive der - das Selbsteintrittsrecht im Landesrecht konkretisierenden - Bestimmung von Art. 29a Abs. 3 der Asylverordnung 1 vom 11. August 1999 (AsylV 1, SR 142.311) ist aus nachfolgenden Gründen ebenfalls nicht angezeigt.</w:t>
      </w:r>
    </w:p>
    <w:p>
      <w:r>
        <w:rPr>
          <w:b/>
        </w:rPr>
        <w:t>E. 5.2</w:t>
      </w:r>
    </w:p>
    <w:p>
      <w:r>
        <w:t>Soweit der Beschwerdeführer sich auf ein besonderes Abhängigkeitsverhältnis zwischen ihm und seiner (angeblichen) Schwester A.W. beruft, ist der Vorinstanz zunächst darin beizupflichten, dass berechtigte Zweifel am geltend gemachten Verwandtschaftsverhältnis bestehen. Gemäss Auskunft der kroatischen Behörden im Rahmen des Übernahmeersuchens der Vorinstanz betreffend A.W. ist der Beschwerdeführer gemeinsam mit seiner Ehefrau und seinen Kindern (welche er gegenüber der Vorinstanz nie erwähnte) gereist und hat die (angebliche) Schwester A.W. gegenüber den kroatischen Behörden nicht erwähnt und diese ist bei ihnen auch nicht registriert worden (vgl. SEM-eAkten, [...]). Das diesbezügliche Vorbringen des Beschwerdeführers, wonach in Kroatien das Fingerabdruck-Gerät bei A.W. nicht funktioniert habe, ist unglaubhaft (vgl. SEM-eAkten, [...]). Denn wenn dies zutreffen würde, hätten die kroatischen Behörden die Vorinstanz lebensnah über diesen Umstand informiert und A.W. wäre ihnen zumindest bekannt gewesen, was wie erwähnt jedoch nicht der Fall ist. Aber selbst wenn vom geltend gemachten Verwandtschaftsverhältnis auszugehen wäre, ist ein Abhängigkeitsverhältnis im Sinne des hier einschlägigen Art. 16 Abs. 1 Dublin-III-VO nicht gegeben. Diese Bestimmung soll die Zusammenführung beziehungsweise die Vermeidung einer Trennung von Personen gewährleisten, die Besonderheiten aufweisen, welche eine Hilfsbedürftigkeit begründen, so dass eine Zusammenführung zu einer humanitären Pflicht wird (vgl. Ulrich Koehler, Praxiskommentar zum Europäischen Asylzuständigkeitssystem, Berlin 2018, Rz. 2 zu Art. 16 Dublin-III-VO). Solche Besonderheiten sind gemäss dieser Bestimmung namentlich eine Schwangerschaft, ein neugeborenes Kind, eine schwere Krankheit, eine ernsthafte Behinderung oder ein hohes Alter. Vorliegend ist weder beim Beschwerdeführer noch bei seiner (angeblichen) Schwester das Vorliegen eines solchen Hilfsbedürftigkeitsgrunds, welcher auf eine Abhängigkeit seiner (angeblichen) Schwester von ihm oder umgekehrt schliessen lassen würde, zu bejahen. Der Beschwerdeführer macht geltend, er habe seit dem Jahr 2018 und dem Tod seiner Grossmutter alleine mit seiner Schwester in Burundi gelebt und sich um diese gekümmert. Er nehme die Vaterrolle ein und habe seit klein auf eine Betreuungsfunktion für sie eingenommen. Dies genügt hier unter Berücksichtigung des Gesamtkontexts im Ergebnis aber nicht, um ein Abhängigkeitsverhältnis im Sinne der genannten Bestimmung zu begründen. Bei Wahrunterstellung ist zwar naheliegend, dass die Übernahme der Verantwortung eines Kindes im Alter von zwölf oder dreizehn Jahren eine besondere Abhängigkeit schafft. Er zeigt diesbezüglich in der Beschwerde aber nicht substantiiert auf, inwiefern diese Betreuung und Unterstützung auch heute noch im gleich hohen Mass notwendig und gegeben ist, insbesondere aus Sicht von A.W. Im Übrigen ist ohnehin fraglich, inwiefern es dem Beschwerdeführer angesichts seiner dokumentierten, diagnostizierten psychischen Beeinträchtigungen (mittelgradige Depression und Posttraumatische Belastungsstörung) effektiv möglich wäre, solche Unterstützung für seine Schwester zu leisten. Schliesslich vermag er auch mit dem Argument des Kindeswohls nichts zu seinen Gunsten abzuleiten. Er macht im Wesentlichen geltend, seine Schwester als seine Familienangehörige sei noch minderjährig und das Kindeswohl erlaube daher keine Trennung von ihm und seiner Schwester. Nach Einsicht in die Akten von A.W. (N [...]) ist zunächst festzustellen, dass die Vorinstanz die behauptete Minderjährigkeit, namentlich gestützt auf eine forensische Altersabklärung, als nicht glaubhaft erachtete und in der Folge ihr Geburtsdatum im Zentralen Migrationsinformationssystem (Zemis) mit (...) eingetragen hat. Die Frage der Minderjährigkeit kann im vorliegenden Kontext im Raum stehen bleiben, denn gemäss eigenen Angaben von A.W. und dem mit der Beschwerde eingereichten burundischen Schülerausweis (in Kopie) ist sie im heutigen Zeitpunkt siebzehn Jahre und elf Monate alt und wird am (...) - somit in weniger als zwei Wochen - die Volljährigkeit erreichen. Vor diesem Hintergrund ist eine Gefährdung des Kindeswohl durch eine Trennung vom Beschwerdeführer nicht ersichtlich.</w:t>
      </w:r>
    </w:p>
    <w:p>
      <w:r>
        <w:rPr>
          <w:b/>
        </w:rPr>
        <w:t>E. 6</w:t>
      </w:r>
    </w:p>
    <w:p>
      <w:r>
        <w:t>Die Vorinstanz ist demnach zu Recht in Anwendung von Art. 31a Abs. 1 Bst. b AsylG auf das Asylgesuch des Beschwerdeführers nicht eingetreten und hat dessen Überstellung nach Kroatien angeordnet.</w:t>
      </w:r>
    </w:p>
    <w:p>
      <w:r>
        <w:rPr>
          <w:b/>
        </w:rPr>
        <w:t>E. 7</w:t>
      </w:r>
    </w:p>
    <w:p>
      <w:r>
        <w:t>Nach dem Gesagten ist die Beschwerde abzuweisen und die angefochtene Verfügung zu bestätigen.</w:t>
      </w:r>
    </w:p>
    <w:p>
      <w:r>
        <w:rPr>
          <w:b/>
        </w:rPr>
        <w:t>E. 8.1</w:t>
      </w:r>
    </w:p>
    <w:p>
      <w:r>
        <w:t>Mit dem Entscheid in der Hauptsache sind die Gesuche um Erteilung der aufschiebenden Wirkung und um Verzicht auf die Erhebung eines Kostenvorschusses gegenstandslos geworden.</w:t>
      </w:r>
    </w:p>
    <w:p>
      <w:r>
        <w:rPr>
          <w:b/>
        </w:rPr>
        <w:t>E. 8.2</w:t>
      </w:r>
    </w:p>
    <w:p>
      <w:r>
        <w:t>Die Begehren erweisen sich als aussichtslos, weshalb das Gesuch um unentgeltliche Prozessführung ungeachtet einer allfälligen prozessualen Bedürftigkeit abzuweisen ist (Art. 65 Abs. 1 VwVG).</w:t>
      </w:r>
    </w:p>
    <w:p>
      <w:r>
        <w:rPr>
          <w:b/>
        </w:rPr>
        <w:t>E. 8.3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