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E-1665/2023 vom 25. April 2023</w:t>
      </w:r>
    </w:p>
    <w:p>
      <w:r>
        <w:t>Bundesverwaltungsgericht, 2023-04-25, DE</w:t>
      </w:r>
    </w:p>
    <w:p>
      <w:r>
        <w:rPr>
          <w:b/>
        </w:rPr>
        <w:t xml:space="preserve">Quelle: </w:t>
      </w:r>
      <w:r>
        <w:t>https://mcp.opencaselaw.ch/entscheid/bvger_E-1665_2023</w:t>
      </w:r>
    </w:p>
    <w:p>
      <w:r>
        <w:t>FR: TAF E-1665/2023 du 25 avril 2023</w:t>
      </w:r>
    </w:p>
    <w:p>
      <w:r>
        <w:t>IT: TAF E-1665/2023 del 25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 im Zeitpunkt der Urteilsfällung -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rügt in formeller Hinsicht, die Vorinstanz habe den Sachverhalt nicht vollständig abgeklärt. Konkret seien, trotz seines Antrags auf Anordnung eines medizinischen Gutachtens, ungenügende Abklärungen seiner psychischen Gesundheit beziehungsweise der Behandlungsmöglichkeiten in Kroatien vorgenommen worden. Diese Rüge ist vorab zu prüfen, da sie geeignet ist, eine Kassation der angefochtenen Verfügung herbeizuführen.</w:t>
      </w:r>
    </w:p>
    <w:p>
      <w:r>
        <w:rPr>
          <w:b/>
        </w:rPr>
        <w:t>E. 4.2</w:t>
      </w:r>
    </w:p>
    <w:p>
      <w:r>
        <w:t>Die Sachverhaltsfeststellung ist unvollständig, wenn nicht alle für den Entscheid wesentlichen Sachumstände berücksichtigt werden (vgl. Kölz/ Häner/Bertschi, Verwaltungsverfahren und Verwaltungsrechtspflege des Bundes, 3. Aufl. 2013, Rz. 1043).</w:t>
      </w:r>
    </w:p>
    <w:p>
      <w:r>
        <w:rPr>
          <w:b/>
        </w:rPr>
        <w:t>E. 4.3</w:t>
      </w:r>
    </w:p>
    <w:p>
      <w:r>
        <w:t>Aus den Akten ergeben sich keine Hinweise, dass die Vorinstanz ihre Pflicht zur vollständigen Abklärung des rechtserheblichen Sachverhalts nicht ausreichend wahrgenommen hätte. Insbesondere hat sie sämtliche medizinischen Unterlagen den Beschwerdeführer betreffend ediert und umfassend berücksichtigt. Bezeichnenderweise hat der Beschwerdeführer insgesamt zwölf Mal bei Medic-Help ausschliesslich wegen Kopfschmerzen, Juckreiz, Schlafproblemen und einer Grippe medizinische Hilfe beantragt hat. Unterstützung wegen Schmerzen (...) oder psychischen Problemen hat er nie verlangt, obwohl er anlässlich des Dublin-Gesprächs explizit auf seine Meldepflicht aufmerksam gemacht wurde. Die Vorinstanz sah sich deshalb zu Recht nicht dazu veranlasst, ein medizinisches Gutachten in Auftrag zu geben. Auch zu den Möglichkeiten der Behandlung von allfälligen psychischen Problemen in Kroatien hat sich die Vorinstanz eingehend geäussert und dabei auch konkrete Institutionen genannt.</w:t>
      </w:r>
    </w:p>
    <w:p>
      <w:r>
        <w:rPr>
          <w:b/>
        </w:rPr>
        <w:t>E. 4.4</w:t>
      </w:r>
    </w:p>
    <w:p>
      <w:r>
        <w:t>Aufgrund des Gesagten erweisen sich die formelle Rüge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Wiederaufnahmeverfahrens (engl.: «take back»), wie das vorliegende eines ist, findet grundsätzlich keine erneute Zuständigkeitsprüfung nach Kapitel III Dublin-III-VO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Die kroatischen Behörden habe ihre Zustimmung zur Wiederaufnahme des Beschwerdeführers gegeben und damit ihre grundsätzliche Zuständigkeit anerkannt, woran nichts ändert, dass diese gestützt auf Art. 20 Abs. 5 Dublin-III-VO erfolgt ist (vgl. Urteil des BVGE F-1157/2023 vom 7. März 2023). Der Beschwerdeführer bestreitet die Zuständigkeit Kroatiens für die Behandlung seines Asylgesuchs nicht.</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auf Beschwerdeebene zitierten Berichte sowie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w:t>
      </w:r>
    </w:p>
    <w:p>
      <w:r>
        <w:rPr>
          <w:b/>
        </w:rPr>
        <w:t>E. 7.3</w:t>
      </w:r>
    </w:p>
    <w:p>
      <w:r>
        <w:t>Nach dem Gesagten ist die Anwendung von Art. 3 Abs. 2 Dublin-III-VO nicht gerechtfertigt.</w:t>
      </w:r>
    </w:p>
    <w:p>
      <w:r>
        <w:rPr>
          <w:b/>
        </w:rPr>
        <w:t>E. 8.1</w:t>
      </w:r>
    </w:p>
    <w:p>
      <w:r>
        <w:t>Nachfolgend ist zu prüfen, ob das Selbsteintrittsrecht nach Art. 17 Abs. 1 erster Satz Dublin-III-VO beziehungsweise Art. 29a Abs. 3 AsylV 1 auszuüben ist.</w:t>
      </w:r>
    </w:p>
    <w:p>
      <w:r>
        <w:rPr>
          <w:b/>
        </w:rPr>
        <w:t>E. 8.2.1</w:t>
      </w:r>
    </w:p>
    <w:p>
      <w:r>
        <w:t>Der Beschwerdeführer macht einerseits geltend, von den kroatischen Behörden Gewalt erfahren zu haben. Andererseits könne er aufgrund seines gesundheitlichen Zustandes nicht nach Kroatien zurückkehren, weil dort der Zugang zu psychologischer Betreuung nicht gewährleistet sei.</w:t>
      </w:r>
    </w:p>
    <w:p>
      <w:r>
        <w:rPr>
          <w:b/>
        </w:rPr>
        <w:t>E. 8.2.2</w:t>
      </w:r>
    </w:p>
    <w:p>
      <w:r>
        <w:t>Der Beschwerdeführer konnte nicht darlegen, dass die ihn bei einer Rückführung im Rahmen des Dublin-Verfahrens nach Kroatien erwartenden Bedingungen derart schlecht sind, dass diese zu einer Verletzung von Art. 3 EMRK führen könnten. Namentlich machte er geltend, sich nicht länger als einen Tag in Kroatien aufgehalten zu haben. Das Bundesverwaltungsgericht geht davon aus, dass er sich nach der Dublin-Rücküberstellung in einer anderen Situation als bei seiner ersten Einreise nach Kroatien befinden wird (vgl. Urteil des BVGer E-1488/2020 E. 9.4 m.w.H.). Daran vermögen auch die auf Beschwerdeebene zitierten Berichte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8.2.3</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Eine solche Situation ist vorliegend offenkundig nicht gegeben.</w:t>
      </w:r>
    </w:p>
    <w:p>
      <w:r>
        <w:rPr>
          <w:b/>
        </w:rPr>
        <w:t>E. 8.2.4</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 sollte sich dort eine psychologische Behandlung als indiziert erweisen und der Beschwerdeführer nunmehr eine solche in Anspruch nehmen wollen - nebst den staatlichen Einrichtungen auch Angebote von Nichtregierungsorganisationen für die psychische Betreuung, womit von einem genügenden psychologischen Behandlungsangebot auszugehen ist (vgl. Urteile des BVGer F-4368/2020 vom 14. Januar 2021 E. 7.3; E-794/2022 vom 5. Mai 2022, E. 7.2).</w:t>
      </w:r>
    </w:p>
    <w:p>
      <w:r>
        <w:rPr>
          <w:b/>
        </w:rPr>
        <w:t>E. 8.3</w:t>
      </w:r>
    </w:p>
    <w:p>
      <w:r>
        <w:t>Nach dem Gesagten besteht kein Grund für eine Anwendung der Ermessensklausel von Art. 17 Dublin-III-VO sowie auch keine Veranlassung für die subeventualiter beantragte Einholung einer individuellen Garantieerklärung bezüglich des Rechtsschutzes vor Verhaftung, Zugangs zum Asylverfahren, adäquater medizinischer Versorgung sowie Unterbringung.</w:t>
      </w:r>
    </w:p>
    <w:p>
      <w:r>
        <w:rPr>
          <w:b/>
        </w:rPr>
        <w:t>E. 8.4</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9</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Das Gesuch um Gewährung der unentgeltlichen Prozessführung ist gutzuheissen, da von der Bedürftigkeit des Beschwerdeführers auszugehen ist und die Rechtsbegehren sich zum Gesuchszeitpunkt nicht als aussichtslos darstellten. Es sind keine Verfahrenskosten zu erheben (Art. 65 Abs. 1 VwVG).</w:t>
      </w:r>
    </w:p>
    <w:p>
      <w:r>
        <w:rPr>
          <w:b/>
        </w:rPr>
        <w:t>E. 10.2</w:t>
      </w:r>
    </w:p>
    <w:p>
      <w:r>
        <w:t>Die Anträge auf Erteilung der aufschiebenden Wirkung und auf Befreiung von der Kostenvorschusspflicht erweisen sich als gegenstandslos. Der mit superprovisorischer Massnahme vom 30. März 2023 angeordnete Vollzugsstopp fällt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