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E-1663/2019 vom 23. Mai 2019</w:t>
      </w:r>
    </w:p>
    <w:p>
      <w:r>
        <w:t>Bundesverwaltungsgericht, 2019-05-23, DE</w:t>
      </w:r>
    </w:p>
    <w:p>
      <w:r>
        <w:rPr>
          <w:b/>
        </w:rPr>
        <w:t xml:space="preserve">Quelle: </w:t>
      </w:r>
      <w:r>
        <w:t>https://mcp.opencaselaw.ch/entscheid/bvger_E-1663_2019</w:t>
      </w:r>
    </w:p>
    <w:p>
      <w:r>
        <w:t>FR: TAF E-1663/2019 du 23 mai 2019</w:t>
      </w:r>
    </w:p>
    <w:p>
      <w:r>
        <w:t>IT: TAF E-1663/2019 del 23 maggio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indes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(insb. Art. 83 Abs. 1-4) ist unverändert vom AuG ins AIG übernommen worden, weshalb das Gericht nachfolgend die neue Gesetzesbezeichnung verwenden wird.</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2.2</w:t>
      </w:r>
    </w:p>
    <w:p>
      <w:r>
        <w:t>Aufgrund der Zuweisung des Beschwerdeführers in die Testphase des Verfahrenszentrums Zürich kommt die Verordnung vom 4. September 2013 über die Durchführung von Testphasen zu den Beschleunigungsmassnahmen im Asylbereich (TestV, SR 142.318.1) zur Anwendung (Art. 1 und Art. 4 Abs. 1 TestV).</w:t>
      </w:r>
    </w:p>
    <w:p>
      <w:r>
        <w:rPr>
          <w:b/>
        </w:rPr>
        <w:t>E. 2.3</w:t>
      </w:r>
    </w:p>
    <w:p>
      <w:r>
        <w:t>Der Beschwerdeführer ist als Verfügungsadressat zur Beschwerdeführung legitimiert (Art. 48 VwVG). Auf die frist- und formgerecht eingereichte Beschwerde ist einzutreten (Art. 112 Abs. 3 AsylG i.V.m. Art. 38 TestV und Art. 52 Abs. 1 VwVG).</w:t>
      </w:r>
    </w:p>
    <w:p>
      <w:r>
        <w:rPr>
          <w:b/>
        </w:rPr>
        <w:t>E. 3</w:t>
      </w:r>
    </w:p>
    <w:p>
      <w:r>
        <w:t>Mit Beschwerde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4</w:t>
      </w:r>
    </w:p>
    <w:p>
      <w:r>
        <w:t>Der Beschwerdeführer erhebt verschiedene formelle Rügen, die vorab zu prüfen sind, da sie zur Kassation der angefochtenen Verfügung führen können. Soweit sich die Beschwerde in allgemeinen Ausführungen erschöpft, ohne einen konkreten Bezug zur vorliegenden Beschwerdesache erkennen zu lassen, ist darauf nicht weiter einzugehen.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Aus der angefochtenen Verfügung ergeben sich auch nach Prüfung der Akten keine Anhaltspunkte, die den Schluss zuliessen, die Vorinstanz habe irgendeine dieser Pflichten verletzt. Das rechtliche Gehör ist nicht verletzt. Sodann werden in der Rechtsmitteleingabe Unklarheiten und Missverständnisse bei der Anhörung gerügt, indes sind solche den Akten nicht zu entnehmen beziehungsweise wurden geklärt. Im Übrigen hat der Beschwerdeführer die Vollständig- und Richtigkeit des Anhörungsprotokolls unterschriftlich bestätigt. Schliesslich ist die Verfügung der Vorinstanz ausreichend begründet, zumal sie sich nicht mit jedem einzelnen Vorbringen auseinandersetzen muss. Die Vorinstanz ist - entgegen den Rügen auf Beschwerdeebene - ausreichend auf die Stellungnahme zum Entscheidentwurf eingegangen. Dass eine sachgerechte Anfechtung möglich war, zeigt die Beschwerde selbst. Der Begründungspflicht ist mithin ebenfalls Genüge getan.</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6.2</w:t>
      </w:r>
    </w:p>
    <w:p>
      <w:r>
        <w:t>Die Rüge, die Vorinstanz habe sich in rechtswidriger Art geweigert, den rechtserheblichen Sachverhalt vollständig zu erstellen oder dies zu ermöglichen, erweist sich als unbegründet. Es trifft zwar zu, dass der Beschwerdeführer das Einreichen von Studienunterlagen im vorinstanzlichen Verfahren in Aussicht gestellt hat. Die Rüge, es sei unzulässig, dass die Vorinstanz mit der Entscheidredaktion nicht einige Tage zugewartet habe, geht jedoch ins Leere, hatte der Beschwerdeführer zur Einreichung seiner Unterlagen im vorinstanzlichen Verfahren doch genügend Zeit. Vor diesem Hintergrund ist auch der Hinweis der Vorinstanz, der Beschwerdeführer habe keine entsprechenden Unterlagen eingereicht, nicht zu beanstanden. Die Vorinstanz hat im Übrigen ihren Standpunkt zum Nachreichen der Studienunterlagen ausreichend dargelegt (angefochtene Verfügung, S. 5). Was ferner den Namen der Professorin anbelangt, bestätigt die Beschwerde selbst, dass der Beschwerdeführer den Namen «D._______» nannte, die Person jedoch «E._______» heisst. Unter dem Blickwinkel der Mitwirkungspflicht des Beschwerdeführers an der Erhebung des Sachverhalts, kann von der Vorinstanz nicht erwartet werden, dass sie mutmasst, dass mit «D._______» «E._______» gemeint sein könnte. Sie durfte vielmehr - insbesondere aufgrund des langjährigen Studiums des Beschwerdeführers an der Universität Suleimaniya - davon ausgehen, dass der Beschwerdeführer den Namen seiner Professorin kennt und korrekt angibt (SEM-Akten, A21, F76 f.). Schliesslich ist darauf hinzuweisen, dass nach der gesetzlichen Konzeption bei Asylgesuchen die Gesuchsteller verpflichtet sind, die Flüchtlingseigenschaft nachzuweisen oder zumindest glaubhaft zu machen (vgl. Art. 7 Abs. 1 AsylG). Gelingt es jedoch nicht, auch nur die herabgesetzten Beweisanforderungen der Glaubhaftmachung der Flüchtlingseigenschaft zu erfüllen, ist die Vorinstanz nicht gehalten, die Vorbringen zusätzlich auf ihre Asylrelevanz zu prüfen. Vor dem Hintergrund der Unglaubhaftigkeit der Fluchtgeschichte (nachfolgend E. 8), geht somit die Rüge, die Vorinstanz habe es unterlassen, den geltend gemachten Sachverhalt auf Asylrelevanz zu überprüfen, ins Leere (Beschwerde, Ziff. VI, recte: Ziff. IV).</w:t>
      </w:r>
    </w:p>
    <w:p>
      <w:r>
        <w:rPr>
          <w:b/>
        </w:rPr>
        <w:t>E. 7</w:t>
      </w:r>
    </w:p>
    <w:p>
      <w:r>
        <w:t>Die formellen Rügen erweisen sich demnach insgesamt als unbegründet. Es besteht kein Anlass zu Rückweisung der Sache an die Vorinstanz aufgrund formeller Mängel. Die entsprechenden Beschwerdeanträge sind abzuweisen. Wie im Folgenden zu zeigen sein wird, sind auch die Beweiswürdigung und die Rechtsanwendung der Vorinstanz nicht zu beanstanden.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8.2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8.3</w:t>
      </w:r>
    </w:p>
    <w:p>
      <w:r>
        <w:t>Die Schlussfolgerungen der Vorinstanz sind weder in tatsächlicher noch in rechtlicher Hinsicht zu beanstanden. Nach Prüfung der Akten durch das Gericht ist in Übereinstimmung mit der Vorinstanz festzustellen, dass die Asylvorbringen des Beschwerdeführers den Anforderungen an das Glaubhaftmachen nicht standzuhalten vermögen. Die Beschwerdevorbringen sind nicht geeignet, zu einer von der Vorinstanz abweichenden Betrachtungsweise zu führen, zumal der Beschwerdeführer den vorinstanzlichen Erwägungen nichts Substantielles entgegenhält und lediglich am Wahrheitsgehalt seiner bereits vorgetragenen Fluchtgeschichte festhält. Hiermit gelingt es ihm nicht aufzuzeigen, inwiefern die vorinstanzliche Beweiswürdigung Bundesrecht verletzen oder zu einer rechtsfehlerhaften Sachverhaltsfeststellung führen soll. Solches ist auch nicht ersichtlich. So wiederspricht sich der Beschwerdeführer bereits zu den im Zentrum stehenden Drohungen. Zunächst macht er geltend, einen Drohanruf im Coiffeursalon erhalten zu haben. Hiernach habe er die Stadt verlassen, sei zu seinem Onkel gegangen, habe ein Visum organisiert und das Land verlassen. Im weiteren Verlauf der Anhörung spricht er sodann von einem Treffen, an dem er bedroht worden sein soll. Auf den Widerspruch angesprochen, will er doch nur Telefonisch und per Snapchat bedroht worden sein (z. B. SEM-Akten, A21, 6, F49 und S. 14, F124 ff.). Wenn der Ehemann so einflussreich war, wie dargestellt, ist ferner nicht nachvollziehbar, weshalb er den Beschwerdeführer nicht greifen konnte und dieser stattdessen ein Visum beantragen und legal ausreisen konnte (SEM-Akten, A21, S. 9, F80 und S. 15, F144). Im Übrigen ist der Vorinstanz darin beizupflichten, dass die Ausführungen des Beschwerdeführers zum Kerngeschehen oberflächlich und stereotyp ausgefallen sind, mithin nicht von Selbsterlebtem zeugen. Namentlich sind keine Emotionen zur Liebesgeschichte oder in Bezug auf den Tod der Geliebten zu erkennen (z. B. SEM-Akten, A21, S. 13, F119 ff.). Die Beschreibungen zu den angeblichen Treffen mit der Frau überzeugen ebenfalls nicht. So sollen diese lediglich bei ihr zuhause stattgefunden haben und dies einmal im Monat, einmal alle zwei Monate oder einmal alle drei Monate. Auch zum Befinden der Frau kann er keine überzeugenden Angaben machen, was jedoch bei einer Liebesbeziehung zu erwarten wäre (z. B. SEM-Akten, A21, S. 11, F99 ff.). Es trifft zwar zu, dass der Beschwerdeführer schlussendlich das Wort Bachelor anlässlich der Anhörung gefunden hat (Beschwerde, Ziff. III, SEM-Akten, A21, S. 8, F68 ff.) und auf Beschwerdeebene Kopien der Universität Suleimaniya ins Recht legte. Dokumente, die käuflich leicht erworben werden können oder die keine fälschungssicheren Merkmale aufweisen, haben für sich alleine jedoch nur geringen Beweiswert. Bei den eingereichten Kopien trifft beides zu. Zudem verwundert es, dass es dem Beschwerdeführer erst auf Beschwerdeebene gelungen ist, lediglich zwei Seiten einer allgemeinen Bestätigung zu angeblich vier absolvierten Universitätsjahren einzureichen. Die auf Beschwerdeebene eingereichten Dokumente untermauern vielmehr die vorinstanzliche Schlussfolgerung. Die entsprechenden vorinstanzlichen Ausführungen sind - anders als auf Beschwerdeebene behauptet - nicht zu beanstanden. Zudem belegen diese Unterlagen höchstens, dass der Beschwerdeführer an der Universität Suleimaniya studiert hat. Sie sind für sich alleine aber nicht geeignet, die unglaubhafte Beziehung mit einer verheirateten Frau und die daraus resultierende Verfolgung in ein glaubhaftes Licht zu rücken. Somit kann in antizipierter Beweiswürdigung auf eine Überprüfung deren Echtheit sowie auf die Nachforderung von Originalen verzichtet werden. Angesichts der aufgezeigten Sachlage erübrigt es sich, auf weitere Beschwerdeausführungen einzugehen, da diese nicht geeignet sind, zu einer anderen rechtlichen Würdigung der Aktenlage zu führen. Um Wiederholungen zu vermeiden, ist auf die zutreffenden Ausführungen der Vorinstanz zu verweisen, die zu Recht das Asylgesuch abgelehnt hat.</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10.1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10.2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10.3.1</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10.3.2</w:t>
      </w:r>
    </w:p>
    <w:p>
      <w:r>
        <w:t>Die Vorinstanz stellt im Wesentlichen fest, der Beschwerdeführer stamme aus einer der vier von der kurdischen Regionalregierung kontrollierten nordirakischen Provinzen. Die Konfliktlage im Irak zeichne sich durch grosse Dynamik und Volatilität aus, womit allgemeine Aussagen über die Sicherheits- und Menschenrechtslage rasch ihre Gültigkeit verlieren könnten. Trotz grosser Flüchtlingswelle in die Autonome Region Kurdistan sei die Sicherheits- und Versorgungslage für Einheimische nicht derart gravierend, dass generell von einer konkreten Gefährdung im Sinne von Art. 83 Abs. 4 AuG gesprochen werden könne. Die Lage in den angrenzenden Distrikten in den Provinzen Ninawa, Salah ad-Din und Diyala habe sich zudem dahingehend wesentlich verändert, dass der Krieg gegen die Terrormiliz Islamischer Staat als Territorialmacht von der irakischen Regierung als beendet erklärt worden sei und damit das sogenannte Kalifat Vergangenheit sei. In der Autonomen Region Kurdistan herrsche keine Situation allgemeiner Gewalt. Der Wegweisungsvollzug sei deshalb grundsätzlich zumutbar, was im Einklang mit der Wegweisungspraxis des Bundesverwaltungsgerichts stehe.</w:t>
      </w:r>
    </w:p>
    <w:p>
      <w:r>
        <w:rPr>
          <w:b/>
        </w:rPr>
        <w:t>E. 10.3.3</w:t>
      </w:r>
    </w:p>
    <w:p>
      <w:r>
        <w:t>Im Urteil E-3737/2015 vom 14. Dezember 2015 (als Referenzurteil publiziert) stellte das Bundesverwaltungsgericht fest, dass in den vier Provinzen der Autonomen Kurdischen Region (das Gebiet wird seit Anfang 2015 durch die Provinzen Dohuk, Erbil, Suleimaniya sowie Halabja gebildet) nach wie vor nicht von einer Situation allgemeiner Gewalt im Sinne von Art. 83 Abs. 4 AuG auszugehen ist und keine konkreten Anhaltspunkte für die Annahme vorliegen, dies werde sich in absehbarer Zeit massgeblich verändern (ursprünglich statt vieler BVGE 2008/5). Diese Einschätzung hat nach wie vor Gültigkeit. Die langjährige Praxis im Sinne von BVGE 2008/5 für aus dem KRG-Gebiet stammende Kurdinnen und Kurden bleibt somit weiterhin anwendbar. Besonderes Gewicht ist dem Vorliegen begünstigender individueller Faktoren beizumessen (vgl. u.a. Urteile des BVGer E-2855/2018 vom 14. Januar 2019 E. 5.6.1, D-1779/2016 vom 6. Dezember 2018 E. 7.3.2, E-2036/2016 vom 21. November 2018 E. 6.3.1). So setzt die Anordnung des Wegweisungsvollzugs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das Urteil des BVGer E-6430/2016 vom 31. Januar 2018 E. 6.4.1 ff., m.w.H.).</w:t>
      </w:r>
    </w:p>
    <w:p>
      <w:r>
        <w:rPr>
          <w:b/>
        </w:rPr>
        <w:t>E. 10.3.4</w:t>
      </w:r>
    </w:p>
    <w:p>
      <w:r>
        <w:t>Der Beschwerdeführer ist kurdischer Ethnie mit letztem Wohnsitz in Suleimaniya. In Suleimaniya lebte er eigenen Angaben zufolge von (...) bis kurz vor seiner Ausreise (...). Vor Ort lebt seine Schwester, bei der er wohnen durfte. Ob er tatsächlich studiert hat kann dahingestellt bleiben, hatte er doch vor seiner Ausreise keine finanziellen Schwierigkeiten, was auf Beschwerdeebene bestätigt wird (Beschwerde, Ziff. 3). So hat er - neben seinem angeblichen Studienabschluss im Bank- und Finanzwesen - seit (...) einen eigenen Coiffeursalon, von dessen Einkünften er hat leben können. Im Übrigen hat er eine grosse Anzahl an Verwandten, so konnte er namentlich nicht nur bei seiner Schwester, sondern auch bei seinem Onkel unterkommen, der ein Haus und eine Plantage besitzt. Mithin verfügt der Beschwerdeführer über ein tragfähiges familiäres Beziehungsnetz, das ihn - sofern überhaupt notwendig - bei der Reintegration unterstützen kann. Dass er mit seinen Verwandten jeglichen Kontakt abgebrochen haben soll, ist unglaubhaft, hat er doch beispielsweise (...) noch bei seinem Onkel übernachtet. Die genannten begünstigenden Faktoren sprechen für die Zumutbarkeit des Wegweisungsvollzugs. Im Übrigen leidet der Beschwerdeführer den Akten zufolge an keinen relevanten gesundheitlichen Problemen, die einem Wegweisungsvollzug entgegenstehen könnten. Die auf Beschwerdeebene eingereichte Diagnose der psychiatrischen Sprechstunde vom 2. April 2019 lässt keinen anderen Schluss zu. Was die Medikamente anbelangt, die der Beschwerdeführer vorübergehend nimmt, steht es ihm frei, vor der Ausreise bei der Vorinstanz einen Antrag auf medizinische Rückkehrhilfe zu stellen (vgl. Art. 93 Abs. 1 Bst. d AsylG i.V.m. Art. 75 AsylV 2). Insgesamt ist nicht davon auszugehen, dass der Beschwerdeführer bei einer Rückkehr nach Suleimaniya aufgrund der allgemeinen Situation oder aus individuellen Gründen wirtschaftlicher, sozialer oder gesundheitlicher Natur in eine existenzbedrohende Lage geraten würde. Dieser Schlussfolgerung wird auf Beschwerdeebene nichts Stichhaltiges entgegengestellt. Aus dem auf Beschwerdeebene zitierten Urteil des Bundesverwaltungsgerichts D-373/2019 vom 28. März 2019 kann der Beschwerdeführer nichts zu seinen Gunsten ableiten, wurde mit diesem doch ebenfalls die Zumutbarkeit des Wegweisungsvollzugs in die kurdischen Regionen des Nordirak - insbesondere nach Suleimaniya - bestätigt. Der Vollzug der Wegweisung ist zumutbar.</w:t>
      </w:r>
    </w:p>
    <w:p>
      <w:r>
        <w:rPr>
          <w:b/>
        </w:rPr>
        <w:t>E. 10.4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10.5</w:t>
      </w:r>
    </w:p>
    <w:p>
      <w:r>
        <w:t>Die Vorinstanz hat den Vollzug demnach zu Recht als zulässig, zumutbar und möglich erachtet. Damit fällt die Anordnung einer vorläufigen Aufnahme ausser Betracht (Art. 83 Abs. 1-4 AuG). Der entsprechende Beschwerdeantrag ist abzuweisen.</w:t>
      </w:r>
    </w:p>
    <w:p>
      <w:r>
        <w:rPr>
          <w:b/>
        </w:rPr>
        <w:t>E. 11</w:t>
      </w:r>
    </w:p>
    <w:p>
      <w:r>
        <w:t>Aus diesen Erwägungen ergibt sich, dass die angefochtene Verfügung Bundesrecht nicht verletzt und auch sonst nicht zu beanstanden ist (Art. 106 AsylG). Die Beschwerde ist abzuweisen. Nach dem Gesagten besteht auch kein Anlass zur Rückweisung der Sache an die Vorinstanz. Der entsprechende Beschwerdeantrag ist abzuweisen.</w:t>
      </w:r>
    </w:p>
    <w:p>
      <w:r>
        <w:rPr>
          <w:b/>
        </w:rPr>
        <w:t>E. 12.1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12.2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