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E-165/2018 vom 24. Januar 2018</w:t>
      </w:r>
    </w:p>
    <w:p>
      <w:r>
        <w:t>Bundesverwaltungsgericht, 2018-01-24, DE</w:t>
      </w:r>
    </w:p>
    <w:p>
      <w:r>
        <w:rPr>
          <w:b/>
        </w:rPr>
        <w:t xml:space="preserve">Quelle: </w:t>
      </w:r>
      <w:r>
        <w:t>https://mcp.opencaselaw.ch/entscheid/bvger_E-165_2018</w:t>
      </w:r>
    </w:p>
    <w:p>
      <w:r>
        <w:t>FR: TAF E-165/2018 du 24 janvier 2018</w:t>
      </w:r>
    </w:p>
    <w:p>
      <w:r>
        <w:t>IT: TAF E-165/2018 del 24 gennaio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 Gemäss Art. 12 VwVG stellt die Behörde den Sachverhalt von Amtes wegen fest und bedient sich nötigenfalls der unter dieser Norm aufgelisteten Beweismittel. Die unrichtige oder unvollständige Feststellung des rechtserheblichen Sachverhalts in Verletzung der Untersuchungspflicht bildet einen Beschwerdegrund (Art. 106 Abs. 1 Bst. b AsylG).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Rz. 1043).</w:t>
      </w:r>
    </w:p>
    <w:p>
      <w:r>
        <w:rPr>
          <w:b/>
        </w:rPr>
        <w:t>E. 4.2</w:t>
      </w:r>
    </w:p>
    <w:p>
      <w:r>
        <w:t>Vorliegend ist in Übereinstimmung mit den diesbezüglichen Ausführun-gen in der Beschwerde festzustellen, dass es sich bei den Vorbringen des Beschwerdeführers bei der Anhörung, er habe in der Schweiz erfahren, dass ein (...) von ihm, der in Syrien zurückgeblieben sei und sich im (...) der (...) als (...) angeschlossen habe, am (...) erschossen worden sei, und eine Rückkehr nach Syrien komme auch deshalb nicht in Frage, weil er nicht wie sein (...) enden wolle, um einen für den Entscheid rechtswesentlichen Sachumstand handelt. Die Vorinstanz hat die zu diesem Sachverhaltselement bei der Anhörung eingereichten Beweismittel (...) in der angefochtenen Verfügung zwar erwähnt, aber sie weder einer inhaltlichen Prüfung unterzogen noch die diesbezüglichen Aussagen des Beschwerdeführers anlässlich der Anhörung beim Sachverhalt aufgeführt geschweige sich dann damit auseinandergesetzt. Das SEM wäre verpflichtet gewesen, dieses Vorbringen zu berücksichtigen. Zum einen hat das Bundesverwaltungsgericht im Rahmen seiner Rechtsprechung mehrfach festgestellt, dass sowohl das syrische Regime wie auch die übrigen Konfliktparteien im syrischen Bürgerkrieg die Strategie der Reflexverfolgung weiterhin systematisch und gezielt anwenden (vgl. beispielsweise Urteil vom 14. November 2016: E-1395/2015 E. 6.4.2; Urteil vom 15. Mai 2017: E-6269/2015 E. 5.1). Im Hinblick auf eine allfällige begründete Furcht vor künftiger Verfolgung im heutigen Zeitpunkt (eine Rückkehr im heutigen Zeitpunkt mag hypothetisch sein, den Asylbehörden ist dennoch aufgetragen, Art. 3 AsylG in jedem Einzelfall anzuwenden) ist ferner auch nicht auszuschliessen, dass der Beschwerdeführer bei einer Rückkehr als Refraktär behandelt werden könnte. Unter diesem Aspekt ist das vom Beschwerdeführer geltend gemachte Ereignis im Zusammenhang mit seinem (...) ein wesentliches Element und im Rahmen der Entscheidfindung einer sorgfältigen und ernsthaften Prüfung zu unterziehen. Es wird dazu auf das als Referenzurteil publizierte Urteil des Bundesverwaltungsgerichts D-5553/2013 vom 18. Februar 2015 zur Situation von Refraktären und Deserteuren, die vom syrischen Regime aufgrund ihres familiären Hintergrundes als Regimegegner eingestuft werden könnten, hingewiesen. Damit steht fest, dass sich die Vorinstanz in der Abfassung der angefochtenen Verfügung nicht mit diesem für den Ausgang des Verfahrens wesentlichen Vorbringen des Beschwerdeführers und den dazu eingereichten Beweismitteln befasst hat, womit sie ihre Begründungspflicht und seinen Anspruch auf rechtliches Gehör verletzt hat. Zudem hat sie mit dieser Gehörsverletzung auch den Sachverhalt unvollständig festgestellt. Vorliegend handelt es sich um eine schwerwiegende Verletzung des rechtlichen Gehörs, weshalb eine Heilung auf Beschwerdeebene nicht in Betracht fällt.</w:t>
      </w:r>
    </w:p>
    <w:p>
      <w:r>
        <w:rPr>
          <w:b/>
        </w:rPr>
        <w:t>E. 4.3</w:t>
      </w:r>
    </w:p>
    <w:p>
      <w:r>
        <w:t>Nach dem Gesagten ist die Beschwerde gutzuheissen. Die Verfügung vom 6. Dezember 2017 ist aufzuheben und die Sache zur Gewährung des rechtlichen Gehörs sowie zur vollständigen Feststellung des Sachverhaltes und anschliessenden Neubeurteilung an das SEM zurückzuweisen.</w:t>
      </w:r>
    </w:p>
    <w:p>
      <w:r>
        <w:rPr>
          <w:b/>
        </w:rPr>
        <w:t>E. 4.4</w:t>
      </w:r>
    </w:p>
    <w:p>
      <w:r>
        <w:t>Angesichts der Rückweisung der Sache an die Vorinstanz erübrigt es sich, auf die weiteren Vorbringen in der Beschwerde einzugehen, weil sie ebenfalls Gegenstand des wiederaufzunehmenden erstinstanzlichen Ver-fahrens sein werden und die Vorinstanz sich damit zu befassen haben wird.</w:t>
      </w:r>
    </w:p>
    <w:p>
      <w:r>
        <w:rPr>
          <w:b/>
        </w:rPr>
        <w:t>E. 5.1</w:t>
      </w:r>
    </w:p>
    <w:p>
      <w:r>
        <w:t>Bei diesem Ausgang des Verfahrens sind keine Kosten zu erheben (Art. 63 Abs. 1 und 2 VwVG), womit die Anträge auf Verzicht auf die Er-hebung eines Kostenvorschusses und auf Erlass der Verfahrenskosten im Sinne von Art. 65 Abs. 1 VwVG gegenstandslos werden.</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600.- (inkl. Auslagen und allfälliger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