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E-1657/2017 vom 27. Juli 2018</w:t>
      </w:r>
    </w:p>
    <w:p>
      <w:r>
        <w:t>Bundesverwaltungsgericht, 2018-07-27, DE</w:t>
      </w:r>
    </w:p>
    <w:p>
      <w:r>
        <w:rPr>
          <w:b/>
        </w:rPr>
        <w:t xml:space="preserve">Quelle: </w:t>
      </w:r>
      <w:r>
        <w:t>https://mcp.opencaselaw.ch/entscheid/bvger_E-1657_2017</w:t>
      </w:r>
    </w:p>
    <w:p>
      <w:r>
        <w:t>FR: TAF E-1657/2017 du 27 juillet 2018</w:t>
      </w:r>
    </w:p>
    <w:p>
      <w:r>
        <w:t>IT: TAF E-1657/2017 del 27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Das SEM führte zur Begründung seiner ablehnenden Verfügung im Wesentlichen aus, dass der Beschwerdeführer bis heute keinen Verfolgungsmassnahmen ausgesetzt gewesen sei, und seine Angst, es könnte ihm etwas zustossen, auf reinen Vermutungen gründe. So sei er nie bedroht worden und mache auch nicht geltend, je kontaktiert worden zu sein. Bei einer objektiven Betrachtungsweise sei daher festzustellen, dass keine hinreichenden Anhaltspunkte für eine konkrete Bedrohung vorhanden seien, die eine Furcht vor zukünftiger Verfolgung als begründet erschienen liessen. Befürchtete Verfolgungsmassnahmen durch nichtstaatliche Akteure seien zudem dann nicht relevant, wenn es der betroffenen Person möglich sei, davor im Heimatstaat adäquaten Schutz zu finden. Erforderlich sei dabei eine funktionierende und effiziente Schutzinfrastruktur, deren Inanspruchnahme für die betroffene Person objektiv möglich und individuell zumutbar sei. Die Behörden im Nordirak seien grundsätzlich willens, den Einwohnern der nordirakischen Provinzen Schutz vor allfälliger Verfolgung zu gewähren, ausser es lägen begründete Hinweise auf einen fehlenden Schutzwillen vor. Dies wäre beispielsweise dann der Fall, wenn der Verfolger gute Beziehungen zu den herrschenden Parteien unterhalten und die verfolgte Person eine nicht genehme politische Haltung vertreten würde. Aus den Aussagen des Beschwerdeführers würden sich keine entsprechenden Hinweise ergeben, dass dies bei ihm der Fall wäre. Darüber hinaus sei festzustellen, dass er sich noch gar nicht an die zuständigen Sicherheitsbehörden gewandt habe, obwohl es für ihn zumutbar gewesen wäre. Bei dieser Sachlage könne darauf verzichtet werden, auf allfällige Unglaubhaftigkeitselemente in seinen Schilderungen einzugehen, wobei eine spätere Geltendmachung ausdrücklich vorbehalten werde.</w:t>
      </w:r>
    </w:p>
    <w:p>
      <w:r>
        <w:rPr>
          <w:b/>
        </w:rPr>
        <w:t>E. 4.2</w:t>
      </w:r>
    </w:p>
    <w:p>
      <w:r>
        <w:t>Der Beschwerdeführer hielt dem auf Beschwerdeebene zusammenfassend entgegen, im Irak sei das alltägliche Leben stark durch Traditionen, Gebräuche und Sitten bestimmt, welche durch die Existenz der Stämme und deren Stammesrecht ergänzt würden. Demnach sei ein sexuelles Verhältnis beziehungsweise ein Kontakt mit einer Frau, mit der man nicht verheiratet sei, eine Schande für die ganze Familie, sogar für die ganze Sippe der Frau oder des Ehemannes. Die "beschmutzte Ehre" werde durch gegenseitiges Blutvergiessen wiederhergestellt, was zu Jahrzehnte lang dauernden Familienfehden führe. Vor dem Hintergrund, dass der Beschwerdeführer Moslem und seine Freundin Jezidin seien, und eine Konvertierung des einen Partners jeweils zur anderen Religion nicht möglich oder mit erheblichen Problemen verbunden sei, sei eine friedliche Lösung ausgeschlossen. Die Rolle des Staates sei bei einem solchen Konflikt sehr gering, da dieser zwar gemäss seinem Strafrecht gegen die Parteien vorgehe, aber ein Verhindern der Blutrache beziehungsweise deren Fortsetzung nicht möglich sei. Deshalb und nicht zuletzt auch aufgrund des infolge Krieges entstandenen Chaos sei der Staat nicht im Stande, die betreffenden Personen zu schützen. In einem Land wie dem Irak beziehungsweise einer Region wie dem Nordirak, wo die Religion für die Gesellschaft, für die Sicherheitskräfte und Behörden immer noch eine sehr grosse Rolle spiele, könne auch von einer Schutzwilligkeit des betreffenden Staates nicht gesprochen werden. Im Weiteren sei gegen den Beschwerdeführer ein Haftbefehl erlassen worden, der deutlich mache, dass der Beschwerdeführer bereits wegen seiner Liebesbeziehung zu einer jezidischen Frau angezeigt worden sei und im Falle einer Rückkehr mit einer langjährigen Freiheitsstrafe zu rechnen habe. Demnach sei seine Furcht vor den im Heimatstaat drohenden Nachteilen entgegen der Behauptung der Vorinstanz im asylrechtlich relevanten Sinne begründet, weshalb er die Flüchtlingseigenschaft gemäss Art. 3 AsylG erfülle.</w:t>
      </w:r>
    </w:p>
    <w:p>
      <w:r>
        <w:rPr>
          <w:b/>
        </w:rPr>
        <w:t>E. 4.3</w:t>
      </w:r>
    </w:p>
    <w:p>
      <w:r>
        <w:t>In der Vernehmlassung führte das SEM aus, die Beschwerdeschrift enthalte keine neuen erheblichen Tatsachen oder Beweismittel, die eine Änderung seines Standpunktes rechtfertigten. Trotzdem sei zu bemerken, dass der vom Beschwerdeführer auf Beschwerdeebene eingereichten Haftverfügung ein reduzierter Beweiswert zukomme, da solche Dokumente erfahrungsgemäss - wie im Falle von Irak - käuflich leicht erhältlich seien. Im Weiteren habe es der Beschwerdeführer unterlassen, in der Beschwerdeschrift im Einzelnen darzulegen, in welchem Sachzusammenhang das Dokument zu den geltend gemachten Vorbringen stehe. Hierzu sei insbesondere anzumerken, dass der im Haftbefehl genannte Art. 9 des irakischen Strafgesetzbuches Nr. 111 (1969) die Anwendbarkeit des Strafgesetzbuches für Verbrechen festlege, die ausserhalb des Iraks begangen würden. Dabei gehe es um Straftaten, welche die innere und äussere Sicherheit des Staates gefährdeten, sich gegen das Regime richteten oder das Fälschen von Banknoten oder Münzen zum Gegenstand hätten. Diese Rechtsgrundlage vermöge keinen Konnex zu den Vorbringen des Beschwerdeführers aufzuzeigen. Ohnehin sei nicht ersichtlich, wie der Beschwerdeführer als Zivilperson in Besitz einer verwaltungsinternen Weisung gelangt sein solle.</w:t>
      </w:r>
    </w:p>
    <w:p>
      <w:r>
        <w:rPr>
          <w:b/>
        </w:rPr>
        <w:t>E. 4.4</w:t>
      </w:r>
    </w:p>
    <w:p>
      <w:r>
        <w:t>In der Replik machte der Beschwerdeführer geltend, er könne sich nicht erklären, warum im eingereichten Beweismittel der falsche Gesetzesartikel zitiert worden sei. Seiner Ansicht nach müsse es sich um einen Fehler seitens der Justizbehörde der kurdischen Autonomieregion handeln.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5.2</w:t>
      </w:r>
    </w:p>
    <w:p>
      <w:r>
        <w:t>Was die Asylvorbringen des Beschwerdeführers betrifft, so stellt das Bundesverwaltungsgericht übereinstimmend mit dem SEM fest, dass sie den Anforderungen an die Flüchtlingseigenschaft nicht zu genügen vermögen. Das Gericht geht mit der Vorinstanz einig, dass - entgegen der Darstellung des Beschwerdeführers - der Wille und die Fähigkeit der kurdischen Behörden in der Autonomen Region Kurdistans, den Einwohnern der drei nordirakischen Provinzen Schutz vor allfälliger Verfolgung zu gewähren, heute nach wie vor gegeben ist (vgl. Urteil des BVGer D-3292/2016 vom 9. November 2016 E. 5.4 m.H.a. BVGE 2008/4 und zu den Voraussetzungen der Schutztheorie: BVGE 2011/51 E. 7 f. m.w.H.). Im Urteil BVGE 2008/4 bringt das Bundesverwaltungsgericht zwar gewisse Vorbehalte in Bezug auf den Schutzwillen der nordirakischen Justizorgane im Zusammenhang mit Ehrenmorden an (vgl. E. 6.7). Zum einen bezieht sich aber der Vorbehalt in erster Linie auf direkt von einem Ehrenmord bedrohte Frauen, zum anderen ist vorliegend deutlich hervorzuheben, dass die vom Beschwerdeführer geäusserte Befürchtung auf einer Vermutung beruht, die er, abgesehen von seinen wenig substantiierten Angaben, mit nichts zu begründen vermag. Im Übrigen hat das SEM zu Recht darauf hingewiesen, dass keine begründeten Hinweise auf eine Absenz des Schutzwillens der nordirakischen Behörden vorliegen, wie beispielsweise durch gute Beziehungen der Eltern zu den herrschenden Parteien oder eine diesen nicht genehme politische Haltung auf Seite des Beschwerdeführers. Der Beschwerdeführer ist folglich nicht auf den subsidiären Schutz der Schweiz angewiesen. Erstmals mit Beschwerde vom 17. März 2017 machte der Beschwerdeführer geltend, gegen ihn sei Anzeige wegen seiner Liebesbeziehung mit einer jezidischen Frau erstattet worden; in diesem Zusammenhang reichte er einen originalen Haftbefehl mit Datum vom (...) September 2015 inklusive deutscher Übersetzung ein. Das SEM hegte in der Vernehmlassung zu Recht Zweifel an der Echtheit des besagten Dokuments, insbesondere weil dieses den Beschwerdeführer aufgrund eines Straftatbestands zur Vorführung ausschreibt, welcher in keinem Sachzusammenhang zu seinem Vorbringen steht. Dass es sich dabei um einen Fehler der Behörden der kurdischen Autonomieregion handeln müsse, überzeugt offensichtlich nicht. Ungeachtet dessen lässt sich ohnehin nicht erklären, wie er als Zivilperson in den Besitz eines angeblich originalen behördeninternen Dokuments gelangt sein will, wobei er sich in keiner Weise zu dieser Frage äussert. Nach dem Gesagten ist nicht davon auszugehen, dass der Beschwerdeführer von den Behörden im Nordirak aus asylrechtlich relevanten Gründen gesucht wird.</w:t>
      </w:r>
    </w:p>
    <w:p>
      <w:r>
        <w:rPr>
          <w:b/>
        </w:rPr>
        <w:t>E. 5.3</w:t>
      </w:r>
    </w:p>
    <w:p>
      <w:r>
        <w:t>Zusammenfassend ist festzuhalten, dass der Beschwerdeführer die Flüchtlingseigenschaft nicht erfüllt. Die Vorinstanz hat somit zu Recht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7.1.3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Wie oben erläutert (vgl. E. 5.3), ist aufgrund der Aktenlage anzunehmen, dass die staatlichen Behörden vorliegend willens und fähig sind, ihn vor einem allfälligen - allerdings nur vermuteten - "Ehrenmord" zu schützen. Auch die allgemeine Menschenrechtssituation in der Herkunftsregion des Beschwerdeführers lässt den Wegweisungsvollzug zum heutigen Zeitpunkt nicht als unzulässig erscheinen (vgl. dazu Referenzurteil des BVGer E-3737/2015 vom 14. Dezember 2015 E. 6.3.2).</w:t>
      </w:r>
    </w:p>
    <w:p>
      <w:r>
        <w:rPr>
          <w:b/>
        </w:rPr>
        <w:t>E. 7.1.4</w:t>
      </w:r>
    </w:p>
    <w:p>
      <w:r>
        <w:t>Nach dem Gesagten ist der Vollzug der Wegweisung im Sinne der asyl- und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der nordirakischen Autonomen Region Kurdistan (ARK), zu welcher die Provinz G._______ gehört, herrscht keine Situation allgemeiner Gewalt (vgl. Referenzurteil des BVGer E-3737/2015 vom 14. Dezember 2015 E. 7 und unter anderen die Urteile E-4297/2016 vom 12. Oktober 2016, D-7590/ 2016 vom 19. Januar 2017, E-5390/2017 vom 2. November 2017).</w:t>
      </w:r>
    </w:p>
    <w:p>
      <w:r>
        <w:rPr>
          <w:b/>
        </w:rPr>
        <w:t>E. 7.2.2</w:t>
      </w:r>
    </w:p>
    <w:p>
      <w:r>
        <w:t>Aus den Akten und den Angaben des Beschwerdeführers ergeben sich auch keine hinreichend konkreten Anhaltspunkte, die darauf schliessen liessen, der alleinstehende, gesunde, heute (...)-jährige Beschwerdeführer gerate im Falle seiner Rückkehr nach G._______, wo er seit seinem ersten Lebensjahr und bis zur Ausreise gelebt hat, aus individuellen Gründen wirtschaftlicher, sozialer oder gesundheitlicher Natur in eine existenzbedrohende Situation. Gemäss eigenen Angaben hat er fast neun Jahre lang in B._______ die Schule besucht und danach während vier Jahren als (...) gearbeitet (vgl. A3 Ziff. 1.17.04 f.), weshalb davon auszugehen ist, dass er in seiner Heimat in der Lage sein wird, sich eine wirtschaftliche Existenzgrundlage aufzubauen. Zudem verfügt er in B._______ mit seinen Eltern, seinen sechs Geschwistern, Freunden und zahlreichen weiteren Verwandten über ein grosses Beziehungsnetz (vgl. ebd. Ziff. 3.01), das ihn nach seiner Rückkehr unterstützen kann. Nach dem Gesagten erweist sich der Vollzug der Wegweisung des Beschwerdeführers auch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des Verfahrens in der Höhe von Fr. 750.- dem Beschwerdeführer aufzuerlegen (Art. 63 Abs. 1 und Art.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