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E-1652/2023 vom 3. April 2023</w:t>
      </w:r>
    </w:p>
    <w:p>
      <w:r>
        <w:t>Bundesverwaltungsgericht, 2023-04-03, DE</w:t>
      </w:r>
    </w:p>
    <w:p>
      <w:r>
        <w:rPr>
          <w:b/>
        </w:rPr>
        <w:t xml:space="preserve">Quelle: </w:t>
      </w:r>
      <w:r>
        <w:t>https://mcp.opencaselaw.ch/entscheid/bvger_E-1652_2023</w:t>
      </w:r>
    </w:p>
    <w:p>
      <w:r>
        <w:t>FR: TAF E-1652/2023 du 3 avril 2023</w:t>
      </w:r>
    </w:p>
    <w:p>
      <w:r>
        <w:t>IT: TAF E-1652/2023 del 3 aprile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t>E-1652/2023 Seite 4</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E-1652/2023 Seite 5</w:t>
      </w:r>
    </w:p>
    <w:p>
      <w:r>
        <w:rPr>
          <w:b/>
        </w:rPr>
        <w:t>E. 4.2</w:t>
      </w:r>
    </w:p>
    <w:p>
      <w:r>
        <w:t>Beabsichtigt das SEM, den vorübergehenden Schutz zu verweigern, so setzt es das Verfahren über die Anerkennung als Flüchtling oder das Wegweisungsverfahren unverzüglich fort (vgl. Art. 69 Abs. 4 AsylG).</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Die Beschwerdeführenden bringen in ihrer Beschwerde vor, die Vor- instanz habe ihre Abklärungs- und Begründungspflicht verletzt, indem sie in ihrem Entscheid die Situation der beiden Söhne der Beschwerdeführerin nicht berücksichtigt und somit den Sachverhalt unvollständig abgeklärt habe. Ebenfalls seien die Folgen des negativen Schutzstatusentscheides mit keinem Wort erwähnt worden.</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Nicht erforderlich ist, dass sich die Begründung mit allen Parteistandpunkten ein- lässlich auseinandersetzt und jedes einzelne Vorbringen ausdrücklich wi- derlegt (vgl. BGE 143 III 65 E. 5.2). Der Anspruch auf rechtliches Gehör be- schlägt nur die Feststellung des rechtserheblichen Sachverhalts, nicht aber dessen rechtliche Würdigung.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Gemäss Art. 33 Abs. 1 VwVG nimmt sie die ihr angebotenen Beweise ab, wenn diese zur Abklärung des Sachver- halts tauglich erscheinen. Der Untersuchungsgrundsatz findet seine</w:t>
      </w:r>
    </w:p>
    <w:p>
      <w:r>
        <w:t>E-1652/2023 Seite 6 Grenze an der Mitwirkungspflicht der Gesuchstellenden (Art. 13 VwVG und im Asylbereich speziell Art. 8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Die unrichtige oder unvollstän- dige Feststellung des rechtserheblichen Sachverhalts bildet einen Be- schwerdegrund und dem Bundesverwaltungsgericht obliegt gemäss Art. 49 Bst. b VwVG beziehungsweise Art. 106 Abs. 1 Bst. b AsylG eine umfassende Sachverhaltskontrolle. Ermittelt das Bundesverwaltungs- gericht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w:t>
      </w:r>
    </w:p>
    <w:p>
      <w:r>
        <w:rPr>
          <w:b/>
        </w:rPr>
        <w:t>E. 7.1</w:t>
      </w:r>
    </w:p>
    <w:p>
      <w:r>
        <w:t>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zum Ganzen E. 3.2 f. oben, Art. 69 Abs. 4 AsylG, Art. 83 Abs. 1 AIG; ferner BVGE 2013/37 E. 4.4, 2009/50 E. 9). Die Beschwerdeführen- den besitzen weder eine kantonale Aufenthaltsbewilligung noch verfügen sie über einen Anspruch auf Erteilung einer solchen. Weitere mögliche Aus- nahmen von der Regelfolge der Wegweisungsanordnung sehen weder Ge- setz noch Praxis vor. Art. 69 Abs. 4 AsylG spricht ausdrücklich von der ge- botenen Weiterführung des Wegweisungsverfahrens durch das SEM, so- fern dieses die Verweigerung des vorübergehenden Schutzes beabsichtigt. Das SEM kann diesfalls somit weder auf die Prüfung der Wegweisungs- noch der Vollzugsfrage verzichten und/oder den Entscheid darüber der kantonalen Behörde überlassen. Es geht bei der Beurteilung dieser Zu- ständigkeitsfrage somit vorliegend von einem unrichtigen rechtlichen Sach- verhalt aus (vgl. Urteil des BVGer E-5631/2022 vom 14. Februar 2023 E. 5.2.2).</w:t>
      </w:r>
    </w:p>
    <w:p>
      <w:r>
        <w:t>E-1652/2023 Seite 7</w:t>
      </w:r>
    </w:p>
    <w:p>
      <w:r>
        <w:rPr>
          <w:b/>
        </w:rPr>
        <w:t>E. 7.2</w:t>
      </w:r>
    </w:p>
    <w:p>
      <w:r>
        <w:t>Das SEM begründet den Verzicht auf die Prüfung der Wegweisung in der angefochtenen Verfügung damit, dass die Beschwerdeführenden über die ukrainische Staatsangehörigkeit und über einen biometrischen Pass verfügten und grundsätzlich und unabhängig von der Einreichung eines Asylgesuches oder eines Gesuchs um Erlangung des Schutzstatus be- rechtigt seien, legal in die Schweiz einzureisen und sich hier bis zu 90 Tage visumsfrei aufzuhalten. Die Beschwerdeführenden hätten ihre Gesuche um vorübergehenden Schutz am 29. November 2022 eingereicht. Entspre- chend und mangels Kenntnis des genauen Datums ihrer Einreise in die Schweiz sei nicht davon auszugehen, dass der Zeitraum von drei Monaten abgelaufen sei, weshalb das SEM nicht über die Wegweisung zu befinden habe.</w:t>
      </w:r>
    </w:p>
    <w:p>
      <w:r>
        <w:rPr>
          <w:b/>
        </w:rPr>
        <w:t>E. 7.3</w:t>
      </w:r>
    </w:p>
    <w:p>
      <w:r>
        <w:t>Diese Argumentation missachtet die Tatsache, dass der visumsfreie Aufenthalt während 90 Tagen zwar einen legalen Aufenthalt in der Schweiz in dieser Zeitspanne begründet (vergleichbar mit dem grundsätzlich lega- len Aufenthalt während eines Asylverfahrens nach Art. 42 AsylG), nicht aber ein gefestigtes Aufenthaltsrecht. Ebenso verkennt das SEM die bei Asylverfahren oder Verfahren betreffend vorübergehenden Schutz gel- tende Priorität des AsylG vor AIG. Das AIG kommt erst, aber immerhin dann zum Tragen, wenn über ein Asylgesuch oder ein Gesuch um Gewäh- rung vorübergehenden Schutzes abschlägig verfügt wird (mittels Abwei- sung oder Nichteintreten). Ist dies der Fall, muss ein Entscheid des SEM betreffend Wegweisung und Vollzug der Wegweisung ergehen und hierfür wiederum sind bei Bedarf die nötigen Abklärungen im Rahmen des Unter- suchungsgrundsatzes zu treffen. Vorliegend besteht ein solcher Abklä- rungsbedarf. Dem Umstand, dass ein Verfahren betreffend Gewährung vo- rübergehenden Schutzes während der Dauer des 90-tägigen legalen und visumsfreien Aufenthalts ergeht, kann beispielsweise mittels Ansetzung der Ausreisefrist auf einen Zeitpunkt nach Ablauf dieser 90-tägigen Frist Rechnung getragen werden (vgl. a.a.O.). Das SEM wäre folglich mit einer beabsichtigten beziehungsweise verfüg- ten Abweisung des Gesuchs um Gewährung vorübergehenden Schutzes gehalten gewesen, in der angefochtenen Verfügung sowohl im Dispositiv als auch in der Begründung ebenso über die Wegweisung und den Weg- weisungsvollzug zu befinden. Zu diesem Zweck hat es nunmehr den Sach- verhalt unter Mitberücksichtigung der betreffenden Ausführungen in der Beschwerde abzuklären und zur Spruchreife zu bringen (vgl. a.a.O.).</w:t>
      </w:r>
    </w:p>
    <w:p>
      <w:r>
        <w:t>E-1652/2023 Seite 8</w:t>
      </w:r>
    </w:p>
    <w:p>
      <w:r>
        <w:rPr>
          <w:b/>
        </w:rPr>
        <w:t>E. 7.4</w:t>
      </w:r>
    </w:p>
    <w:p>
      <w:r>
        <w:t>Da nach dem Gesagten nicht alle für den Entscheid rechtswesentlichen Sachumstände abgeklärt und berücksichtigt wurden und mithin eine fehler- und lückenhafte Feststellung des Sachverhalts vorliegt, ist die angefoch- tene Verfügung aufzuheben und die Sache zur vollständigen Sachverhalts- abklärung und -feststellung unter Mitberücksichtigung des Beschwerdein- halts sowie zur Neubeurteilung an das SEM zurückzuweisen. Die Be- schwerde ist insoweit gutzuheissen. Eine (praxisgemäss nur unter restrik- tiven Voraussetzungen mögliche) Heilung der erkannten Verfahrensmän- gel aus prozessökonomischen Gründen auf Beschwerdeebene fällt vorlie- gend schon deshalb nicht mehr in Betracht, weil die Sachverhaltsabklärung und -feststellung Sache der Vorinstanz ist und die Beschwerdeführenden im Falle eines für sie ungünstigen Ergebnisses der weiteren Abklärungen oder einer fehlerhaft vervollständigten Sachverhaltsfeststellung durch das letztinstanzlich entscheidende Bundesverwaltungsgericht der Rechtsweg abgeschnitten würde.</w:t>
      </w:r>
    </w:p>
    <w:p>
      <w:r>
        <w:rPr>
          <w:b/>
        </w:rPr>
        <w:t>E. 8</w:t>
      </w:r>
    </w:p>
    <w:p>
      <w:r>
        <w:t>Bei dieser Sachlage erübrigt sich eine Auseinandersetzung mit den restli- chen Vorbringen in der Beschwerdeschrift. Im Übrigen sind, betreffend das Gesuch um Einsicht in die Akten der Vorinstanz, die Beschwerdeführenden auf die Möglichkeit hinzuweisen, im von der Vorinstanz wiederaufzuneh- menden Verfahren mittels Akteneinsichtsgesuch an diese zu gelangen.</w:t>
      </w:r>
    </w:p>
    <w:p>
      <w:r>
        <w:rPr>
          <w:b/>
        </w:rPr>
        <w:t>E. 9</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daher aufzuheben und die Beschwerde ist ent- sprechend im Hauptbegehren gutzuheissen.</w:t>
      </w:r>
    </w:p>
    <w:p>
      <w:r>
        <w:rPr>
          <w:b/>
        </w:rPr>
        <w:t>E. 10.1</w:t>
      </w:r>
    </w:p>
    <w:p>
      <w:r>
        <w:t>Bei diesem Ausgang des Verfahrens sind keine Kosten zu erheben (Art. 63 Abs. 1 und 2 VwVG). Die Gesuche um Gewährung der unentgelt- lichen Prozessführung und um Verzicht auf die Erhebung eines Kostenvor- schusses werden mit vorliegendem Urteil hinfällig.</w:t>
      </w:r>
    </w:p>
    <w:p>
      <w:r>
        <w:rPr>
          <w:b/>
        </w:rPr>
        <w:t>E. 10.2</w:t>
      </w:r>
    </w:p>
    <w:p>
      <w:r>
        <w:t>Obsiegende Parteien haben Anspruch auf eine Entschädigung für die ihnen erwachsenen notwendigen und verhältnismässig hohen Kosten (Art. 64 Abs. 1 VwVG und Art. 7 Abs. 1 des Reglements vom 21. Februar</w:t>
      </w:r>
    </w:p>
    <w:p>
      <w:r>
        <w:t>E-1652/2023 Seite 9 2008 über die Kosten und Entschädigungen vor dem Bundesverwaltungs- gericht [VGKE, SR 173.320.2]). Der Rechtsvertreter hat keine Kostennote zu den Akten gereicht. Auf die Nachforderung einer solchen kann jedoch verzichtet werden, da sich im vorliegenden Verfahren der Aufwand zuver- lässig abschätzen lässt (Art. 14 Abs. 2 VGKE). Dem Beschwerdeführer ist eine Parteientschädigung zu Lasten des SEM von insgesamt Fr. 1’400.– (inkl. Auslagen) zuzusprechen. Damit wird auch das Gesuch um amtliche Verbeiständung hinfällig.</w:t>
      </w:r>
    </w:p>
    <w:p>
      <w:r>
        <w:t>(Dispositiv nächste Seite)</w:t>
      </w:r>
    </w:p>
    <w:p>
      <w:r>
        <w:t>E-1652/2023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