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E-164/2016 vom 28. Januar 2016</w:t>
      </w:r>
    </w:p>
    <w:p>
      <w:r>
        <w:t>Bundesverwaltungsgericht, 2016-01-28, DE</w:t>
      </w:r>
    </w:p>
    <w:p>
      <w:r>
        <w:rPr>
          <w:b/>
        </w:rPr>
        <w:t xml:space="preserve">Quelle: </w:t>
      </w:r>
      <w:r>
        <w:t>https://mcp.opencaselaw.ch/entscheid/bvger_E-164_2016</w:t>
      </w:r>
    </w:p>
    <w:p>
      <w:r>
        <w:t>FR: TAF E-164/2016 du 28 janvier 2016</w:t>
      </w:r>
    </w:p>
    <w:p>
      <w:r>
        <w:t>IT: TAF E-164/2016 del 28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Flucht vor einer Strafverfolgung ("prosecution") bildet gemäss Praxis des Bundesverwaltungsgerichts per se keinen Grund für die Anerkennung als Flüchtling. Ausnahmsweise kann aber die Durchführung eines Strafverfahrens respektive die Verurteilung wegen eines gemeinrechtlichen Delikts eine Verfolgung im flüchtlingsrechtlichen Sinne ("persecution") darstellen. Dies trifft dann zu, wenn einer Person eine gemeinrechtliche Tat untergeschoben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die betroffene Person wegen der in Art. 1 A des Abkommens vom 28. Juli 1951 über die Rechtsstellung der Flüchtlinge (FK, SR 0.142.30) beziehungsweise Art. 3 AsylG erwähnten Eigenschaften sanktioniert werden soll. Dies kann insbesondere darin zum Ausdruck kommen,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Bundesverwaltungsgerichts E-7866/2010 vom 10. Januar 2011 E. 5 und dort zitierte weitere Urteile).</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Vorweg sind die formellen Rügen, die Vorinstanz habe die Beweismittel nicht gewürdigt und den Sachverhalt nicht erstellt, weil sie "viel zu wenig" abgeklärt habe, respektive ist der Rückweisungsantrag zu behandeln, da dessen Gutheissung zu einer Kassation der angefochtenen Verfügung führen würde. Diese Rügen sind haltlos. Entgegen der Beschwerde hat die Vorinstanz die eingereichten Beweismittel sehr wohl gewürdigt (vgl. unten nachfolgende Erwägung). Ausserdem hat die Vorinstanz die Glaubhaftigkeit der vorgebrachten Strafverfolgung sowie Verurteilung implizit offengelassen und vielmehr das Vorliegen eines Politmalus verneint, weshalb die Rüge, die Beweismittel, welche die Strafverfolgung beweisen sollen, seien von der Vorinstanz nicht gewürdigt worden, von vornherein unbehelflich ist. Der Beschwerdeführer legt ferner nicht substanziiert dar, inwiefern der Sachverhalt nicht erstellt sein soll respektive zu welchen Abklärungen die Vorinstanz anzuweisen sei, und solches ist auch nicht ersichtlich. Der Eventualantrag auf Rückweisung der Sache und Anweisung der Vorinstanz zu weiteren Abklärungen und zu neuer Entscheidung ist daher abzuweisen.</w:t>
      </w:r>
    </w:p>
    <w:p>
      <w:r>
        <w:rPr>
          <w:b/>
        </w:rPr>
        <w:t>E. 6</w:t>
      </w:r>
    </w:p>
    <w:p>
      <w:r>
        <w:t>Die Vorinstanz hält in der angefochtenen Verfügung zunächst zutreffend fest, dass Flucht vor Strafverfolgung wegen eines gemeinrechtlichen Delikts wie Mord nur bei Bestehen eines Politmalus ein Asylgrund sei. Weiter verneint sie, dass konkrete Hinweise auf ein Unterschieben der Tat oder auf einen anderen Politmalus vorlägen, zumal es dem Beschwerdeführer nicht gelungen sei, ein massgebliches politisches Profil als BNP-Aktivist substanziiert darzutun. Damit werde seinen Asylgründen die Grundlage entzogen. Ferner habe ein Tatverdacht gegen ihn bestanden. Die Untersuchungsbehörden müssten jedem Verdachtsmoment nachgehen, selbst wenn es auf falscher Anklage beruhe. Es gebe keine Anzeichen dafür, dass ihm kein faires Verfahren gewährt worden sei. Gerade der Umstand, dass er von einem Rechtsanwalt vertreten worden sei, lasse auf ein rechtsstaatlich legitimes Verfahren schliessen. Das Urteil hätte er in Bangladesch anfechten können. Die höheren Gerichte in Bangladesch seien sehr auf ihre Unabhängigkeit bedacht. Die unteren Gerichte stünden unter der Kontrolle des Supreme Court. Es wäre ihm zuzumuten gewesen, seine Parteirechte mittels seines Anwalts in Bangladesch durchzusetzen, anstatt sich weiteren Ermittlungen durch Flucht ins Ausland zu entziehen. Die Schilderungen des Beschwerdeführers hält die Vorinstanz wegen einiger Widersprüche, weiterer Ungereimtheiten sowie wegen des völligen Fehlens von Realkennzeichen für unglaubhaft. So habe er an der BzP angegeben, seit 2001 Mitglied der BNP, an der Anhörung dagegen, seit 2003 deren Mitglied zu sein. Auch andere Datumsangaben seien widersprüchlich ausgefallen. Die Schilderungen seien stereotyp, vage und unsubstanziiert. Einige vorgebrachten Sachverhaltselemente seien nicht nachvollziehbar. Unplausibel sei etwa das Vorbringen, dass er bereits untergetaucht sei, bevor er erfahren habe, dass er angeklagt werde. Aufgrund der stereotypen Schilderung entstehe der Eindruck, dass er das Geschilderte nicht selber erlebt habe oder sich die Erlebnisse in weiten Teilen nicht so abgespielt hätten wie geschildert. Zumindest zu den zwei Jahren, in denen er sich in ständiger Angst versteckt gehalten haben wolle, sowie zu den Tätigkeiten für die BNP seien ausführlichere Angaben zu erwarten gewesen. Der Umstand, dass er sein Heimatland mit seinem echten Reisepass trotz Urteil und Haftbefehl gegen ihn verlassen habe, entspreche schliesslich nicht dem Verhalten eines tatsächlich Verfolgten und widerspreche auch seinem früheren Verhalten, sich versteckt zu halten. Die eingereichten Dokumente (Gerichtsunterlagen) vermöchten angesichts dieser Unglaubhaftigkeitselemente an dieser Einschätzung nichts zu ändern, da sie leicht fälschbar und käuflich erwerbbar seien und sie keinen Beweiswert aufwiesen.</w:t>
      </w:r>
    </w:p>
    <w:p>
      <w:r>
        <w:rPr>
          <w:b/>
        </w:rPr>
        <w:t>E. 7</w:t>
      </w:r>
    </w:p>
    <w:p>
      <w:r>
        <w:t>Nach Prüfung der Akten schliesst sich das Gericht der Auffassung der Vorinstanz an, dass selbst bei Wahrunterstellung der Ereignisse wie Schlägerei, Tod eines AL-Anhängers und Gerichtsverfahren keine konkreten Hinweise auf einen Politmalus vorliegen, zumal es dem Beschwerdeführer nicht gelungen ist, ein politisches Profil als BNP-Aktivist substanziiert darzutun und seine Schilderungen im Übrigen aufgrund widersprüchlicher Angaben, weiterer Ungereimtheiten und des Fehlens von Realkennzeichen unglaubhaft sind, und hält die Erwägungen der Vorinstanz für überwiegend überzeugend. In der Beschwerde wird nichts vorgebracht, was geeignet wäre, daran etwas zu ändern. Die widersprüchliche Datumsangabe bei der Parteimitgliedschaft erklärt er mit dem Unterschied zwischen "bei der BNP zu sein" und Mitglied zu sein, ohne diesen Unterschied indes zu definieren. Im Übrigen beruft er sich ohne nähere Begründung auf Missverständnisse. Der Einwand betreffend seine stereotypen und unsubstanziierten Schilderungen, ihm seien nur geschlossene Fragen gestellt worden, so dass er gar keine Gelegenheit gehabt habe, sein politisches Engagement näher auszuführen, ist aktenwidrig. Denn gemäss den Protokollen hat er hinreichend Gelegenheit gehabt für einen freien Bericht sowie für Schlussbemerkungen. Gerade sein freier Bericht ist aber stereotyp und substanzarm ausgefallen, und anlässlich der Schlussbemerkungen hat er lediglich Aussagen zur allgemeinen Lage gemacht. Ausserdem holt er entsprechende Ausführungen auch auf Beschwerdeebene nicht ansatzweise nach. Was die gerügte Beweiswürdigung betrifft, schliesst sich das Gericht insofern der Vorinstanz an, als es den Beweiswert der Belege für tief hält, so dass diese angesichts der unglaubhaften Aussagen nicht zu einem anderen Ergebnis führen.</w:t>
      </w:r>
    </w:p>
    <w:p>
      <w:r>
        <w:rPr>
          <w:b/>
        </w:rPr>
        <w:t>E. 8</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9</w:t>
      </w:r>
    </w:p>
    <w:p>
      <w:r>
        <w:t>9.1 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der Beschwerdeführer für den Fall einer Ausschaffung in seinen Heimatstaat dort mit beachtlicher Wahrscheinlichkeit einer nach Art. 3 EMRK oder Art. 1 FoK verbotenen Strafe oder Behandlung ausgesetzt wäre. Der Beschwerdeführer müsste, wie die Vorinstanz zutreffend ausführt, eine konkrete Gefahr ("real risk") nachweisen, dass ihm im Falle einer Rückschiebung (etwa im Rahmen des Strafvollzugs) Folter oder eine unmenschliche Behandlung drohen würde. Die blosse Möglichkeit einer Gefährdung stellt für sich keine Verletzung von Art. 3 EMRK dar. Der Vollzug der Wegweisung ist demnach, auch wenn das Gericht die Frage offengelassen hat, ob der Beschwerdeführer bei einer Rückkehr in seinen Heimatstaat eine lebenslange Freiheitsstrafe anzutreten hat, sowohl im Sinne der landes- als auch der völkerrechtlichen Bestimmungen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(vgl. BVGE 2010/8 E. 9.5 sowie Urteil D 3778/2013 vom 16. Juli 2013 E. 8.4) noch individuelle Gründe lassen den Wegweisungsvollzug vorliegend unzumutbar erscheinen. Wie die Vorinstanz zutreffend ausgeführt hat, findet er in Bangladesch mit seinen (...) und weiteren Verwandten ein tragfähiges familiäres Beziehungsnetz vor, wobei besonders sein (...) ihn auch finanziell beträchtlich unterstützt hat. Zudem handelt es sich bei ihm um einen jungen gesunden Mann mit Schulbildung und Berufserfahrung.</w:t>
      </w:r>
    </w:p>
    <w:p>
      <w:r>
        <w:rPr>
          <w:b/>
        </w:rPr>
        <w:t>E. 9.4</w:t>
      </w:r>
    </w:p>
    <w:p>
      <w:r>
        <w:t>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w:t>
      </w:r>
    </w:p>
    <w:p>
      <w:r>
        <w:rPr>
          <w:b/>
        </w:rPr>
        <w:t>E. 9.5</w:t>
      </w:r>
    </w:p>
    <w:p>
      <w:r>
        <w:t>Zusammenfassend ist der vom Staatssekretariat angeordnete Wegweisungsvollzug nicht zu beanstanden.</w:t>
      </w:r>
    </w:p>
    <w:p>
      <w:r>
        <w:rPr>
          <w:b/>
        </w:rPr>
        <w:t>E. 10</w:t>
      </w:r>
    </w:p>
    <w:p>
      <w:r>
        <w:t>Nach dem Gesagten verletzt die angefochtene Verfügung Bundesrecht nicht und ist auch sonst nicht zu beanstanden (Art. 106 Abs. 1 AsylG). Die Beschwerde ist abzuweisen.</w:t>
      </w:r>
    </w:p>
    <w:p>
      <w:r>
        <w:rPr>
          <w:b/>
        </w:rPr>
        <w:t>E. 11</w:t>
      </w:r>
    </w:p>
    <w:p>
      <w:r>
        <w:t>Die gestellten Begehren erweisen sich als aussichtslos, weshalb die Gesuche um unentgeltliche Rechtspflege sowie Beiordnung eines Rechtsbeistands ungeachtet einer allfälligen prozessualen Bedürftigkeit abzuweisen sind (Art. 65 Abs. 1 VwVG und Art. 110a Abs. 1 Bst. a AsylG). Mit dem vorliegenden Entscheid wird das Gesuch um Verzicht auf die Erhebung eines Kostenvorschusses gegenstandslos.</w:t>
      </w:r>
    </w:p>
    <w:p>
      <w:r>
        <w:rPr>
          <w:b/>
        </w:rPr>
        <w:t>E. 12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