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E-163/2023 vom 16. Mai 2023</w:t>
      </w:r>
    </w:p>
    <w:p>
      <w:r>
        <w:t>Bundesverwaltungsgericht, 2023-05-16, DE</w:t>
      </w:r>
    </w:p>
    <w:p>
      <w:r>
        <w:rPr>
          <w:b/>
        </w:rPr>
        <w:t xml:space="preserve">Quelle: </w:t>
      </w:r>
      <w:r>
        <w:t>https://mcp.opencaselaw.ch/entscheid/bvger_E-163_2023</w:t>
      </w:r>
    </w:p>
    <w:p>
      <w:r>
        <w:t>FR: TAF E-163/2023 du 16 mai 2023</w:t>
      </w:r>
    </w:p>
    <w:p>
      <w:r>
        <w:t>IT: TAF E-163/2023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 wie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Ein Abgleich der Fingerabdrücke des Beschwerdeführers mit der «Eurodac»-Datenbank ergab, dass er am 29. September 2022 in Kroatien aufgegriffen und daktyloskopisch erfasst worden war (SEM-Akte 1201850-6/1). Das SEM ersuchte die kroatischen Behörden deshalb am 4. November 2022 um Übernahme des Beschwerdeführers gestützt auf Art. 13 Abs. 1 Dublin-III-VO (SEM-Akte 1201850-11/7). Diese stimmten dem Ersuchen am 4. Januar 2023 ausdrücklich zu (Art. 13 Abs. 1 Dublin-III-VO; SEM-Akte 1201850-15/1). Die Zuständigkeit Kroatiens ist somit grundsätzlich gegeben.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5.2.1</w:t>
      </w:r>
    </w:p>
    <w:p>
      <w:r>
        <w:t>Jeder Mitgliedstaat kann abweichend von Art. 3 Abs. 1 Dublin-III-VO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dieser Bestimmung zufolge "aus humanitären Gründen" behandeln, selbst wenn gemäss Dublin-III-VO ein anderer Staat zuständig wäre.</w:t>
      </w:r>
    </w:p>
    <w:p>
      <w:r>
        <w:rPr>
          <w:b/>
        </w:rPr>
        <w:t>E. 5.2.2</w:t>
      </w:r>
    </w:p>
    <w:p>
      <w:r>
        <w:t>Erweist sich die Überstellung einer asylsuchenden Person in einen Dublin-Staat als unzulässig im Sinn der EMRK oder einer anderen bindenden, völkerrechtlichen Bestimmung, ist die Vorinstanz verpflichtet, die Souveränitätsklausel anzuwenden und das Asylgesuch in der Schweiz zu behandeln (BVGE 2015/9 E. 8.2.1; 2010/45 E. 7.2).</w:t>
      </w:r>
    </w:p>
    <w:p>
      <w:r>
        <w:rPr>
          <w:b/>
        </w:rPr>
        <w:t>E. 5.2.3</w:t>
      </w:r>
    </w:p>
    <w:p>
      <w:r>
        <w:t>Ein Verstoss gegen Art. 3 EMRK kann dann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6</w:t>
      </w:r>
    </w:p>
    <w:p>
      <w:r>
        <w:t>Der Beschwerdeführer brachte auf Beschwerdeebene im Wesentlichen vor, er habe in Kroatien kein Asylgesuch gestellt, weshalb im Falle einer Überstellung dorthin die Gefahr bestehe, dass er keinen Zugang zum Asylverfahren erhalte oder ihm sogar eine mit erneuter Polizeigewalt verbundene Kettenabschiebung drohe. Es könne angesichts des Berichts der Wochenzeitung (WOZ), «Eine Kette der Verachtung», vom 22. Dezember 2022, nicht ausgeschlossen werden, dass er direkt aus dem Landesinnern - namentlich aus Zagreb - abgeschoben werde. Insgesamt sei von effektiven systemischen Schwachstellen des kroatischen Asyl- und Aufnahmeverfahrens auszugehen, weshalb sich weitere Abklärungen seitens der Vorinstanz aufgedrängt hätten. Mithin habe sich das SEM nicht ausreichend mit der Situation von Dublin-Rückkehrenden wie ihm, die in Kroatien kein Asylgesuch gestellt hätten, und der Möglichkeit des effektiven Zugangs zum Asylverfahren auseinandergesetzt. Dementsprechend sei der Sachverhalt nicht vollständig erstellt und die Vorinstanz habe ihre Begründungspflicht und somit sein rechtliches Gehör verletzt. Zudem sei sein Recht auf Akteneinsicht verletzt worden, da die Vorinstanz ihm keine Einsicht in die - in der angefochtenen Verfügung erwähnten - Abklärungen der Schweizerischen Botschaft in Kroatien gewährt habe.</w:t>
      </w:r>
    </w:p>
    <w:p>
      <w:r>
        <w:rPr>
          <w:b/>
        </w:rPr>
        <w:t>E. 7.1</w:t>
      </w:r>
    </w:p>
    <w:p>
      <w:r>
        <w:t>Vorab ist festzuhalten, dass der Beschwerdeführer formal zur Hauptsache die Aufhebung der angefochtenen Verfügung und Rückweisung der Sache an die Vorinstanz beantragte, zumal er die Sachverhaltsfeststellung bemängelt und die Begründungspflicht durch die Vorinstanz verletzt sieht.</w:t>
      </w:r>
    </w:p>
    <w:p>
      <w:r>
        <w:rPr>
          <w:b/>
        </w:rPr>
        <w:t>E. 7.2</w:t>
      </w:r>
    </w:p>
    <w:p>
      <w:r>
        <w:t>Der angefochtenen Verfügung liegt jedoch weder ein unvollständiger oder falscher Sachverhalt zugrunde noch ist eine Verletzung der Begründungspflicht ersichtlich. Insbesondere wird anhand der angefochtenen Verfügung deutlich, dass der Beschwerdeführer in Kroatien kein Asylgesuch gestellt hat.</w:t>
      </w:r>
    </w:p>
    <w:p>
      <w:r>
        <w:rPr>
          <w:b/>
        </w:rPr>
        <w:t>E. 7.3</w:t>
      </w:r>
    </w:p>
    <w:p>
      <w:r>
        <w:t>Aus der Beschwerdebegründung geht letztlich aber auch zweifelsfrei hervor, dass der Beschwerdeführer hinsichtlich der Rechtmässigkeit einer Überstellung nach Kroatien eine andere Auffassung vertritt als die Vorinstanz. Dieser Umstand beschlägt jedoch einzig die - nachfolgende - materielle Würdigung und Prüfung, welche der Beschwerdeführer in seinem Rechtsmittel mit den angerufenen formellen Rügen vermengt hat.</w:t>
      </w:r>
    </w:p>
    <w:p>
      <w:r>
        <w:rPr>
          <w:b/>
        </w:rPr>
        <w:t>E. 7.4</w:t>
      </w:r>
    </w:p>
    <w:p>
      <w:r>
        <w:t>Die Rüge der Verletzung des Akteneinsichtsrechts erweist sich als unbegründet. Nach der Rechtsprechung des Bundesverwaltungsgerichts genügt es, wenn die Vorinstanz hinsichtlich bereits früher getätigter Abklärungen der Schweizer Vertretung in ihrer Verfügung auf entsprechende Erkenntnisse verweist beziehungsweise diese in zusammengefasster Form wiedergibt (vgl. Verfügung des SEM vom 5. Januar 2023 Ziff. II, S. 4). Da im vorliegenden Verfahren keine Botschaftsabklärung durchgeführt wurde, sind in den vorinstanzlichen Akten auch keine entsprechenden Aktenstücke vorhanden, in welche Einsicht hätte gewährt werden müssen. Damit liegt keine Verletzung des Akteneinsichtsrechts vor (vgl. Urteile des BVGer BVGer D-5976/2022 vom 5. Januar 2023 E. 4.1 m.w.H. und E-5984/2022 vom 3. Januar 2023 E. 4.3 m.w.H.).</w:t>
      </w:r>
    </w:p>
    <w:p>
      <w:r>
        <w:rPr>
          <w:b/>
        </w:rPr>
        <w:t>E. 7.5</w:t>
      </w:r>
    </w:p>
    <w:p>
      <w:r>
        <w:t>Für eine Rückweisung der Sache an die Vorinstanz besteht, wie sich aus den Erwägungen dieses Urteils ergibt, keine Veranlassung.</w:t>
      </w:r>
    </w:p>
    <w:p>
      <w:r>
        <w:rPr>
          <w:b/>
        </w:rPr>
        <w:t>E. 8.1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8.2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w:t>
      </w:r>
    </w:p>
    <w:p>
      <w:r>
        <w:t>Im publizierten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hielt fest, der Verdacht eines - angesichts der Situation in Kroatien (vgl. a.a.O. E. 9.4.2 f.) auf den ersten Blick nicht unbegründete - Gefährdungszusammenhangs zwischen den sogenannten Push-backs und Dublin-Rückkehr lasse sich aufgrund der verfügbaren Informationen und Erkenntnisse nicht erhärten.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dies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erhielten,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w:t>
      </w:r>
    </w:p>
    <w:p>
      <w:r>
        <w:rPr>
          <w:b/>
        </w:rPr>
        <w:t>E. 8.4</w:t>
      </w:r>
    </w:p>
    <w:p>
      <w:r>
        <w:t>Unter diesen Umständen ist vorliegend die Anwendung von Art. 3 Abs. 2 Dublin-III-VO nicht gerechtfertigt. Von einer Überstellung ist schliesslich nur in Ausnahmefällen abzusehen. Dafür bedarf es substanziierter Vorbringen, die geeignet sind darzulegen, dass die generelle Annahme - wie sie im Referenzurteil E-1488/2020 dargestellt wurde - im Einzelfall nicht zutrifft. Dies gelingt dem Beschwerdeführer aufgrund seiner angeblich erlebten Vorkommnisse (er sei geschlagen und ihm sei sein Mobiltelefon abgenommen worden, er habe auf dem Boden schlafen müssen, nur Brot zu Essen erhalten, Wasser aus der Dusche trinken müssen und sei aufgrund seiner Hautfarbe diskriminiert worden) in Kroatien nicht.</w:t>
      </w:r>
    </w:p>
    <w:p>
      <w:r>
        <w:rPr>
          <w:b/>
        </w:rPr>
        <w:t>E. 9.1</w:t>
      </w:r>
    </w:p>
    <w:p>
      <w:r>
        <w:t>Im Übrigen sind den Akten sodann keine Anhaltspunkte zu entnehmen, die eine Ausübung des Selbsteintrittsrechts der Schweiz nach Art. 17 Abs. 1 Satz 1 Dublin-III-VO nahelegen würden.</w:t>
      </w:r>
    </w:p>
    <w:p>
      <w:r>
        <w:rPr>
          <w:b/>
        </w:rPr>
        <w:t>E. 9.2</w:t>
      </w:r>
    </w:p>
    <w:p>
      <w:r>
        <w:t>Der Beschwerdeführer hat kein konkretes und ernsthaftes Risiko dargetan, die kroatischen Behörden würden sich weigern, ihn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ihm gemäss Aufnahmerichtlinie zustehenden minimalen Lebensbedingungen - insbesondere auch hinsichtlich der medizinischen Versorgung oder der Unterbringung - vorenthalten. Bei einer allfälligen vorübergehenden Einschränkung könnte er sich nötigenfalls an die kroatischen Behörden wenden und die ihm zustehenden Aufnahmebedingungen auf dem Rechtsweg einfordern (vgl. Art. 26 Aufnahmerichtlinie).</w:t>
      </w:r>
    </w:p>
    <w:p>
      <w:r>
        <w:rPr>
          <w:b/>
        </w:rPr>
        <w:t>E. 9.3</w:t>
      </w:r>
    </w:p>
    <w:p>
      <w:r>
        <w:t>Gemäss vorliegender Aktenlage wurden die Zahnprobleme des Beschwerdeführers behandelt (SEM-Akte 1201850-13/3). Weitere gesundheitlichen Probleme sind nicht ausgewiesen, der Beschwerdeführer gilt demnach als gesund (SEM-Akte 1201850-16/1).</w:t>
      </w:r>
    </w:p>
    <w:p>
      <w:r>
        <w:rPr>
          <w:b/>
        </w:rPr>
        <w:t>E. 9.4</w:t>
      </w:r>
    </w:p>
    <w:p>
      <w:r>
        <w:t>Nach dem Gesagten besteht demnach auch keine Veranlassung für die eventualiter beantragte Einholung individueller Garantien bezüglich des effektiven Zugangs des Beschwerdeführers zum Asylverfahren sowie zur medizinischen Versorgung und Unterbringung.</w:t>
      </w:r>
    </w:p>
    <w:p>
      <w:r>
        <w:rPr>
          <w:b/>
        </w:rPr>
        <w:t>E. 9.5.1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w:t>
      </w:r>
    </w:p>
    <w:p>
      <w:r>
        <w:rPr>
          <w:b/>
        </w:rPr>
        <w:t>E. 9.5.2</w:t>
      </w:r>
    </w:p>
    <w:p>
      <w:r>
        <w:t>Das Gericht enthält sich unter diesen Umständen weiterer Äusserungen zur Frage eines Selbsteintritts aus humanitären Gründen.</w:t>
      </w:r>
    </w:p>
    <w:p>
      <w:r>
        <w:rPr>
          <w:b/>
        </w:rPr>
        <w:t>E. 9.5.3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10</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Nach dem Gesagten ist die Beschwerde abzuweisen und die Verfügung des SEM zu bestätigen. Das Beschwerdeverfahren ist mit vorliegendem Urteil abgeschlossen, weshalb der Antrag auf Gewährung der aufschiebenden Wirkung gegenstandslos geworden ist. Der angeordnete Vollzugsstopp fällt mir vorliegendem Urteil dahin.</w:t>
      </w:r>
    </w:p>
    <w:p>
      <w:r>
        <w:rPr>
          <w:b/>
        </w:rPr>
        <w:t>E. 13</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