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E-1639/2019 vom 2. Mai 2019</w:t>
      </w:r>
    </w:p>
    <w:p>
      <w:r>
        <w:t>Bundesverwaltungsgericht, 2019-05-02, DE</w:t>
      </w:r>
    </w:p>
    <w:p>
      <w:r>
        <w:rPr>
          <w:b/>
        </w:rPr>
        <w:t xml:space="preserve">Quelle: </w:t>
      </w:r>
      <w:r>
        <w:t>https://mcp.opencaselaw.ch/entscheid/bvger_E-1639_2019</w:t>
      </w:r>
    </w:p>
    <w:p>
      <w:r>
        <w:t>FR: TAF E-1639/2019 du 2 mai 2019</w:t>
      </w:r>
    </w:p>
    <w:p>
      <w:r>
        <w:t>IT: TAF E-1639/2019 del 2 maggio 2019</w:t>
      </w:r>
    </w:p>
    <w:p>
      <w:pPr>
        <w:pStyle w:val="Heading2"/>
      </w:pPr>
      <w:r>
        <w:t>Regeste</w:t>
      </w:r>
    </w:p>
    <w:p>
      <w:r>
        <w:t>Nichteintreten auf Asylgesuch (kein Asylgesuch gemäss AsylG)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umfasst, sofern diese von Menschenhand geschaffen wurden (vgl. bereits Entscheidungen und Mitteilungen der vormaligen Schweizerischen Asylrekurskommission [EMARK] 2003 Nr. 18 sowie Urteile des BVGer D-5673/2018 vom 11. Oktober 2018, D-7412/2018 vom 16. Januar 2019 und E-475/2019 vom 8. Februar 2019). Sind die Voraussetzungen von Art. 18 AsylG nicht erfüllt - was gemäss Gesetzeswortlaut namentlich dann der Fall ist, "wenn das Asylgesuch ausschliesslich aus wirtschaftlichen oder medizinischen Gründen eingereicht" worden ist - wird auf ein entsprechendes Gesuch nicht eingetreten (Art. 31a Abs. 3 AsylG).</w:t>
      </w:r>
    </w:p>
    <w:p>
      <w:r>
        <w:rPr>
          <w:b/>
        </w:rPr>
        <w:t>E. 6.1</w:t>
      </w:r>
    </w:p>
    <w:p>
      <w:r>
        <w:t>Die Vorinstanz führt in der angefochtenen Verfügung zunächst aus, die Identität D._______, geboren (...), russischer Staatsangehöriger, könne nicht geglaubt werden. Anlässlich der Anhörung sei dem Beschwerdeführer das rechtliche Gehör zur Änderung von der russischen auf die georgische Staatsangehörigkeit gewährt worden. Der angegebene Geburtsort E._______ liege seit dem Zerfall der Sowjetunion auf georgischem Staatsgebiet, wodurch der Beschwerdeführer georgischer und nicht russischer Staatsangehöriger sei. Im Rahmen der behördlichen Kontrolle vom (...) 2019 sei beim Beschwerdeführer sodann ein georgischer Reisepass im Original, lautend auf A._______, geboren (...) in F._______, Georgien, aufgefunden worden. Aufgrund der Akten und Beweismittel sei deshalb davon auszugehen, dass es sich dabei um seine Hauptidentität handle, weshalb diese entsprechend angepasst worden sei.</w:t>
      </w:r>
    </w:p>
    <w:p>
      <w:r>
        <w:rPr>
          <w:b/>
        </w:rPr>
        <w:t>E. 6.2</w:t>
      </w:r>
    </w:p>
    <w:p>
      <w:r>
        <w:t>Weiter gelangte die Vorinstanz in der angefochtenen Verfügung zum Schluss, es liege kein Asylgesuch im Sinne von Art. 18 AsylG vor. Der Beschwerdeführer habe grösstenteils widersprüchliche und unlogische Angaben betreffend seine Aufenthaltsorte seit dem ersten Asylgesuch in der Schweiz im Jahr 2005 gemacht. Es sei kein nachvollziehbares Bild zu den Ausreisegründen aus Georgien, den Reiseweg und den Aufenthaltsorten während der letzten 14 Jahre entstanden. Er habe aber zu Protokoll gegeben, aus rein wirtschaftlichen und medizinischen Gründen aus Georgien ausgereist zu sein. Er habe weder eine Verfolgung noch eine Furcht vor zukünftiger Verfolgung in Georgien geltend gemacht.</w:t>
      </w:r>
    </w:p>
    <w:p>
      <w:r>
        <w:rPr>
          <w:b/>
        </w:rPr>
        <w:t>E. 6.3</w:t>
      </w:r>
    </w:p>
    <w:p>
      <w:r>
        <w:t>In der Rechtsmitteleingabe bestätigt der Beschwerdeführer, es sei alles richtig, was die Vorinstanz in der angefochtenen Verfügung geschrieben habe. Er ersuche das Gericht aber dennoch um erneute Prüfung seines Falles. Er sei krank und finanziell ruiniert. Der Beschwerdeführer bestreitet die vorinstanzlichen Ausführungen ausdrücklich nicht. Bei der BzP gab er zu Protokoll wegen medizinischer Behandlung in die Schweiz gekommen zu sein (vgl. SEM-Akte B6/14 Ziff. 7.01). Auch anlässlich der Anhörung äusserte er sich entsprechend (vgl. SEM-Akte B20/16 F121 f.). Weitere konkrete Angaben zu allfälligen Fluchtgründen hat der Beschwerdeführer trotz mehrfachen Nachfragens anlässlich der Befragung nicht gemacht (vgl. SEM-Akte a.a.O. z.B. F81, F85, F90, F95). Aus seinen Ausführungen geht nicht ansatzweise hervor, inwiefern er von gezielter Verfolgung betroffen war oder er bei einer Rückkehr begründete Furcht vor künftiger Verfolgung haben sollte. Insgesamt ist davon auszugehen, dass der Beschwerdeführer einzig zur Behandlung der Hepatitis C Erkrankung und der Drogenabhängigkeit in die Schweiz gekommen ist. Das SEM ist folglich gestützt auf Art. 31a Abs. 3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Nachdem von der georgischen Staatsangehörigkeit des Beschwerdeführers auszugehen ist, ist der Vollzug der Wegweisung nach Georgien zu prüfen.</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Georgien ist demnach unter dem Aspekt von Art. 5 AsylG rechtmässig. Sodann ergeben sich weder aus den Aussagen des Beschwerdeführers noch aus den Akten Anhaltspunkte dafür, dass er für den Fall einer Ausschaffung nach Georgien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8.5.2</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8.5.3</w:t>
      </w:r>
    </w:p>
    <w:p>
      <w:r>
        <w:t>Der Beschwerdeführer macht geltend, er habe Hepatitis C und befinde sich in der Schweiz in einem Methadon-Programm. Im Jahr 2013 wurde in Georgien das Universal Health Care Programm (UHCP) eingeführt. Dadurch hatte Ende 2013 bereits 90% der Bevölkerung Zugang zur staatlich finanzierten Gesundheitsversorgung (siehe World Health Organization (WHO), Georgia s health financing reforms show tangible benefits for the population, 14. Juli 2015, http://www.euro.who.int/en/countries/georgia/news/news/2015/07/georgi-as-health-financing-reforms-show-tangible-benefits-for-the-population, abgerufen am 24. April 2019). Zur Behandlung respektive Eliminierung von Hepatitis C existiert in Georgien seit Februar 2015 ein staatliches Programm (siehe Ministry of Labour, Health and Social Affairs of Georgia, Tbilisi. Strategic plan for the elimination of hepatitis C virus in Georgia, 2016-2020, 2015, http://moh.gov.ge/uploads/files/2017/akordeoni/failebi/Georgia_HCV_Elimination_Strategy_2016-2020.pdf, abgerufen am 24. April 2019). Alle georgischen Staatsbürger mit Hepatitis C haben Zugang zu diesem Programm (vgl. Focus Georgien, Reform im Gesundheitswesen: Staatliche Gesundheitsversorgung und Krankenversicherung, 21. März 2018, Ziff. 3.2.1, https://www.sem.admin.ch/dam/data/sem/internationales/herkunftslaender/europa-gus/geo/GEO-reform-gesundheitswesen-d.pdf, abgerufen am 24. April 2019). Folgende Leistungen sind für die Teilnehmer dieses Programmes kostenlos: Screening (erster Test), Behandlung Hepatitis mit antiviralen Medikamenten und Diagnostik/Überwachung während der Behandlung. Einzig die Kosten für den Bestätigungstest nach dem Screening sowie die Kosten für weitere Laboruntersuchungen vor und nach der Behandlung werden nicht vollständig übernommen (vgl. a.a.O., Ziff. 3.3). Im Weiteren besteht auch ein staatliches Programm zur Behandlung von Drogenabhängigkeit. Dieses enthält den stationären begleiteten Entzug mit einer Rehabilitationsphase, den ambulanten Entzug mit der Abgabe von Methadon und zeitlich nicht befristete Drogenersatzprogramme. Zu diesem Programm sind alle drogenabhängigen georgischen Staatsbürger zugelassen. Die Kosten für den Entzug, die Rehabilitation sowie das Methadon werden vollständig vom Staat übernommen. Bei der Anmeldung zur Methadonabgabe ist einzig eine einmalige Pauschale von umgerechnet Fr. 26.- zu entrichten (vgl. a.a.O. Ziff. 5).</w:t>
      </w:r>
    </w:p>
    <w:p>
      <w:r>
        <w:rPr>
          <w:b/>
        </w:rPr>
        <w:t>E. 8.5.4</w:t>
      </w:r>
    </w:p>
    <w:p>
      <w:r>
        <w:t>Aus dem Aufgeführten ergibt sich, dass der Beschwerdeführer in Georgien Zugang zur notwendigen medizinischen Behandlung von Hepatitis C sowie seiner Drogenabhängigkeit respektive zur Abgabe von Methadon erhalten wird. Die gesundheitlichen Probleme des Beschwerdeführers führen somit nicht zur Unzumutbarkeit des Wegweisungsvollzugs. Im Übrigen ist darauf hinzuweisen, dass der Beschwerdeführer im Rahmen der individuellen Rückkehrhilfe die Möglichkeit hat, zusätzliche medizinische Hilfeleistungen zu beantragen (vgl. Art. 75 der Asylverordnung 2 vom 11. August 1999 [AsylV 2, SR 142.312]).</w:t>
      </w:r>
    </w:p>
    <w:p>
      <w:r>
        <w:rPr>
          <w:b/>
        </w:rPr>
        <w:t>E. 8.5.5</w:t>
      </w:r>
    </w:p>
    <w:p>
      <w:r>
        <w:t>Andere Gründe, die gegen den Vollzug der Wegweisung sprechen, liegen nicht vor. Weder herrscht in Georgien eine Situation allgemeiner Gewalt noch steht die politische Situation dem Vollzug entgegen. Die Ehefrau und der Sohn des Beschwerdeführers halten sich gemäss seinen Angaben in Georgien auf. Zudem habe seine Frau ein eigenes Haus (vgl. SEM-Akte B20/16 F96). Angesichts des Umstandes, dass der Beschwerdeführer trotz der ihm obliegenden Mitwirkungspflicht gemäss Art. 8 AsylG seine wahre Identität während des Verfahrens zu verschleiern versucht hat und er keine genauen Angaben zu seinen Lebensumständen in Georgien gemacht hat, erübrigt sich eine weitergehende Prüfung der Zumutbarkeit des Wegweisungsvollzugs. Auch wenn die Durchführbarkeit des Wegweisungsvollzugs grundsätzlich von Amtes wegen zu prüfen ist, findet die Untersuchungspflicht nach Treu und Glauben ihre Grenzen an der Mitwirkungspflicht der Asylsuchenden nach Art. 8 AsylG. Nach dem Gesagten erweist sich der Vollzug der Wegweisung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