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E-1636/2009 vom 4. Juli 2011</w:t>
      </w:r>
    </w:p>
    <w:p>
      <w:r>
        <w:t>Bundesverwaltungsgericht, 2011-07-04, FR</w:t>
      </w:r>
    </w:p>
    <w:p>
      <w:r>
        <w:rPr>
          <w:b/>
        </w:rPr>
        <w:t xml:space="preserve">Quelle: </w:t>
      </w:r>
      <w:r>
        <w:t>https://mcp.opencaselaw.ch/entscheid/bvger_E-1636_2009</w:t>
      </w:r>
    </w:p>
    <w:p>
      <w:r>
        <w:t>FR: TAF E-1636/2009 du 4 juillet 2011</w:t>
      </w:r>
    </w:p>
    <w:p>
      <w:r>
        <w:t>IT: TAF E-1636/2009 del 4 luglio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D'entrée de cause, force est d'observer que le recourant a déclaré être entré en Suisse le (...) muni d'un passeport valable contenant un visa pour regroupement familial avec son épouse. L'intéressé aurait vécu chez sa femme jusqu'à leur séparation le (...) puis durant trois semaines chez des Albanais à (...). Il n'a déposé une demande d'asile que le 30 décembre 2008, soit plus de deux mois après son arrivée en Suisse. Or il est notoire qu'une personne véritablement en danger saisit la première occasion qui lui est offerte pour demander protection ; ce qu'il n'a manifestement pas fait. De plus, interrogé sur le point de savoir s'il avait été amené à déposer une demande d'asile suite à ses problèmes de couple lors de l'audition du 15 janvier 2009, il a répondu par l'affirmative (cf. p-v d'audition p. 4). Dans ces conditions, de sérieux doutes existent quant aux véritables motivations du départ de l'intéressé du Kosovo.</w:t>
      </w:r>
    </w:p>
    <w:p>
      <w:r>
        <w:rPr>
          <w:b/>
        </w:rPr>
        <w:t>E. 3.2</w:t>
      </w:r>
    </w:p>
    <w:p>
      <w:r>
        <w:t>Cela précisé, le recourant a allégué avoir quitté son pays au motif que des anciens membres de l'UCK l'avaient menacé et avaient tenté de le tuer à deux reprises en raison notamment des origines serbes de sa grand-mère et du fait que sa famille était propriétaire de magasins qui comptaient des Serbes parmi ses clients. Autrement dit, l'intéressé fait valoir des persécutions émanant de tiers.</w:t>
      </w:r>
    </w:p>
    <w:p>
      <w:r>
        <w:rPr>
          <w:b/>
        </w:rPr>
        <w:t>E. 3.2.1</w:t>
      </w:r>
    </w:p>
    <w:p>
      <w:r>
        <w:t>Or selon la jurisprudence, on peut imputer à l'Etat le comportement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Il convient donc d'examiner en l'espèce, si le recourant peut bénéficier, au Kosovo, d'un accès concret à des structures de protection efficaces et s'il peut être raisonnablement exigé de lui qu'il fasse appel à ce système de protection interne (cf. JICRA 2006 n° 18 consid. 10.3 p. 203s.).</w:t>
      </w:r>
    </w:p>
    <w:p>
      <w:r>
        <w:rPr>
          <w:b/>
        </w:rPr>
        <w:t>E. 3.2.2</w:t>
      </w:r>
    </w:p>
    <w:p>
      <w:r>
        <w:t>De manière générale, la volonté et la capacité des autorités policières et judiciaires de la nouvelle République du Kosovo, notamment les forces de sécurité constituées par l'UNMIK (Mission d'administration intérimaire des Nations unies au Kosovo) et la KFOR (Force pour le Kosovo), de prévenir la survenance de persécutions ne peuvent être contestées. Ces autorités ne renoncent pas à poursuivre les auteurs d'actes pénalement répréhensibles - tels que par exemple les violences physiques et les menaces - et offrent donc, en principe, une protection appropriée pour empêcher la perpétration de tels actes illicites, quelle que soit l'appartenance ethnique des auteurs et des victimes de ces atteintes (cf. notamment UK Home Office, Operational Guidance Note : Kosovo, 22 juillet 2008, spéc. par. 3.11.10 à 3.11.12 et sources citées ; cf. aussi notamment arrêt du Tribunal D-3694/2006 du 18 novembre 2008 consid. 3.2 et arrêt du Tribunal D-4220/2008 du 24 octobre 2008).</w:t>
      </w:r>
    </w:p>
    <w:p>
      <w:r>
        <w:rPr>
          <w:b/>
        </w:rPr>
        <w:t>E. 3.2.3</w:t>
      </w:r>
    </w:p>
    <w:p>
      <w:r>
        <w:t>Dès lors, la capacité et la volonté des autorités d'empêcher la survenance de menaces telles que celles alléguées par le recourant ne peuvent être déniées. En l'espèce, selon ses déclarations, après son agression du (...), A._______ a été interrogé par la police qui a ouvert une enquête, a arrêté l'auteur de l'infraction et lui a confisqué son arme (cf. p v d'audition du 15 janvier 2009, p. 10). Cela dit, suite à l'événement du (...), l'intéressé s'est immédiatement enfui sans attendre l'arrivée de la police qui, selon ses dires, est intervenue dans cette affaire, une des personnes qui les menaçait et le frère de l'intéressé ayant d'ailleurs été arrêtés (cf. p-v d'audition du 15 janvier 2009, p. 12). Dans ces conditions, on ne saurait considérer que l'Etat est demeuré passif ou a refusé d'accorder sa protection au recourant.</w:t>
      </w:r>
    </w:p>
    <w:p>
      <w:r>
        <w:rPr>
          <w:b/>
        </w:rPr>
        <w:t>E. 3.2.4</w:t>
      </w:r>
    </w:p>
    <w:p>
      <w:r>
        <w:t>Si toutefois l'intéressé considérait que la police se désintéressait totalement de son cas et qu'elle demeurait inactive, il lui appartenait d'engager d'autres démarches, à un échelon supérieur, pour faire valoir ses droits, obtenir une protection adéquate et mettre un terme aux agissements des personnes qui le menaçaient. En d'autres termes, il lui incombait de s'adresser en premier lieu aux autorités de son pays dans la mesure où, comme indiqué plus haut, la protection international revêt un caractère subsidiaire par rapport à la protection nationale, lorsque comme en l'espèce, celle-ci existe, s'avère efficace et peut être requise sans restriction. On peut en effet attendre d'un requérant d'asile qu'il épuise dans son propre pays les possibilités de trouver une protection adéquate avant de solliciter celle d'un Etat tiers.</w:t>
      </w:r>
    </w:p>
    <w:p>
      <w:r>
        <w:rPr>
          <w:b/>
        </w:rPr>
        <w:t>E. 3.2.5</w:t>
      </w:r>
    </w:p>
    <w:p>
      <w:r>
        <w:t>En conséquence, faute pour l'intéressé d'avoir démontré qu'il s'était réellement employé à chercher une protection dans son pays d'origine et que les autorités de celui-ci ne seraient pas en mesure de la lui apporter, le Tribunal constate que les motifs invoqués ne sont pas pertinents en matière d'asile, si tant est que ceux-ci aient été rendus vraisemblables.</w:t>
      </w:r>
    </w:p>
    <w:p>
      <w:r>
        <w:rPr>
          <w:b/>
        </w:rPr>
        <w:t>E. 3.3</w:t>
      </w:r>
    </w:p>
    <w:p>
      <w:r>
        <w:t>Au demeurant, les craintes alléguées ne reposent sur aucun fondement concret et sérieux ni ne sont étayées par un quelconque commencement de preuve pertinent. Certes, le recourant a produit divers documents. Toutefois, aucune de ces pièces ne le concernent personnellement. De plus, celles-ci ne démontrent en aucune manière la véracité de ses allégations quant aux persécutions qu'il aurait personnellement subies ou qu'il craint de subir en cas de retour dans son pays d'origine. Enfin, le Tribunal observe encore que l'intéressé n'a pas produit, comme il avait pourtant été invité à le faire, les documents relatifs à l'agression du (...), alors que, selon ses propres déclarations, tous les moyens de preuve concernant cette affaire se trouveraient auprès de la police ou d'un juge (cf. p-v d'audition du 15 janvier 2009, p. 8). Il a également indiqué que s'il avait été au Kosovo, il aurait pu se procurer ces documents (cf. p-v d'audition du 15 janvier 2009, p. 9). Dès lors, il n'est pas crédible que l'intéressé, qui dispose sur place d'un vaste réseau social et d'un avocat (cf. p-v d'audition du 15 janvier 2009, p. 9) n'ait pas été en mesure de remettre un quelconque document relatif à cette affaire.</w:t>
      </w:r>
    </w:p>
    <w:p>
      <w:r>
        <w:rPr>
          <w:b/>
        </w:rPr>
        <w:t>E. 3.4</w:t>
      </w:r>
    </w:p>
    <w:p>
      <w:r>
        <w:t>Pour le surplus, renvoi est fait aux considérants pertinents de la décision de l'ODM.</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l'espèce, l'intéressé n'est pas titulaire d'une autorisation de séjour et ne l'a, au demeurant, jamais été, dès lors qu'il s'est séparé de son épouse avant qu'une telle autorisation ait pu lui être délivrée. De plus, étant divorcé depuis (...), il ne saurait actuellement non plus faire valoir un quelconque droit à la délivrance d'une autorisation de séjour. En conséquence, 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considère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En l'occurrence, le Tribunal ne saurait admettre que la situation actuelle prévalant au Kosovo est en soi constitutive d'un empêchement à la réinstallation du recourant.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a la liste des Etats sûrs (safe countries), avec effet au 1er avril 2009. L'exécution du renvoi de l'intéressé est, sous cet angle, raisonnablement exigible.</w:t>
      </w:r>
    </w:p>
    <w:p>
      <w:r>
        <w:rPr>
          <w:b/>
        </w:rPr>
        <w:t>E. 7.3</w:t>
      </w:r>
    </w:p>
    <w:p>
      <w:r>
        <w:t>En outre, il ne ressort du dossier aucun élément dont on pourrait inférer que l'exécution du renvoi impliquerait une mise en danger concrète du recourant. A cet égard, le Tribunal relève que l'intéressé est jeune, au bénéfice d'une expérience professionnelle et qu'il appartient à l'ethnie albanaise, majoritaire au Kosovo. De plus, le recourant n'a pas allégué ni a fortiori établi qu'il souffrait de problèmes de santé particuliers pour lesquels il ne pourrait pas être soigné au Kosovo et qui seraient susceptibles de rendre son renvoi inexigible.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Au vu de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10.2</w:t>
      </w:r>
    </w:p>
    <w:p>
      <w:r>
        <w:t>Toutefois, le recourant a conclu à l'octroi de l'assistance judiciaire partielle. Celle-ci doit être admise dans la mesure où les conclusions de son recours n'apparaissaient pas d'emblée vouées à l'échec au moment de son dépôt et qu'il était - et est encore probablement - indigent, vu son absence d'activité rémunérée en Suisse (cf. art. 65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