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E-1632/2014 vom 10. Juli 2014</w:t>
      </w:r>
    </w:p>
    <w:p>
      <w:r>
        <w:t>Bundesverwaltungsgericht, 2014-07-10, DE</w:t>
      </w:r>
    </w:p>
    <w:p>
      <w:r>
        <w:rPr>
          <w:b/>
        </w:rPr>
        <w:t xml:space="preserve">Quelle: </w:t>
      </w:r>
      <w:r>
        <w:t>https://mcp.opencaselaw.ch/entscheid/bvger_E-1632_2014</w:t>
      </w:r>
    </w:p>
    <w:p>
      <w:r>
        <w:t>FR: TAF E-1632/2014 du 10 juillet 2014</w:t>
      </w:r>
    </w:p>
    <w:p>
      <w:r>
        <w:t>IT: TAF E-1632/2014 del 10 luglio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w:t>
      </w:r>
    </w:p>
    <w:p>
      <w:r>
        <w:t>Wie in der Verfügung vom 23. April 2014 festgehalten wurde, finden sich bei den Akten weder das Unterschriftenblatt der Hilfswerksvertretung noch der interne Antrag auf Anordnung der vorläufigen Aufnahme. Ausserdem fehlten zunächst das Akteneinsichtsgesuch des Beschwerdeführers vom 25. Februar 2014 und das Antwortschreiben des BFM vom 13. März 2014. Zudem wurde die Beweismitteleingabe vom 10. Februar 2014, welche vorab per Fax am selben Tag und postalisch gemäss Stempel am 11. Februar 2014 beim Bundesamt einging, erst nach dem angefochtenen Entscheid vom 13. Februar 2014 (vgl. Akte BFM A31/10) zu den Akten genommen und als Akte A33 mit der Bezeichnung "Beschwerde und Beilagen" im Aktenverzeichnis aufgeführt. Es ist deshalb nicht nur festzustellen, dass das Dossier nachlässig respektive teilweise nicht chronologisch geführt wurde und während mehr als einem Monat nicht gefunden werden konnte, sondern auch davon auszugehen, dass die Eingabe des Beschwerdeführers vom 10. Februar 2014 in der Entscheidfindung nicht berücksichtigt wurde. Damit hat die Vorinstanz das rechtliche Gehör verletzt.</w:t>
      </w:r>
    </w:p>
    <w:p>
      <w:r>
        <w:rPr>
          <w:b/>
        </w:rPr>
        <w:t>E. 3.3</w:t>
      </w:r>
    </w:p>
    <w:p>
      <w:r>
        <w:t>Nach dem Gesagten ist die Beschwerde ohne weiteren Erwägungsaufwand gutzuheissen, die angefochtene Verfügung aufzuheben und die Sache an die Vorinstanz zurückzuweisen.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