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E-1629/2017 vom 29. Oktober 2018</w:t>
      </w:r>
    </w:p>
    <w:p>
      <w:r>
        <w:t>Bundesverwaltungsgericht, 2018-10-29, FR</w:t>
      </w:r>
    </w:p>
    <w:p>
      <w:r>
        <w:rPr>
          <w:b/>
        </w:rPr>
        <w:t xml:space="preserve">Quelle: </w:t>
      </w:r>
      <w:r>
        <w:t>https://mcp.opencaselaw.ch/entscheid/bvger_E-1629_2017</w:t>
      </w:r>
    </w:p>
    <w:p>
      <w:r>
        <w:t>FR: TAF E-1629/2017 du 29 octobre 2018</w:t>
      </w:r>
    </w:p>
    <w:p>
      <w:r>
        <w:t>IT: TAF E-1629/2017 del 29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En l'espèce, le SEM a fait application de l'art. 54 LAsi, aux termes duquel l'asile n'est pas accordé à la personne qui n'est devenue un réfugié au sens de l'art. 3 qu'en quittant son Etat d'origine ou de provenance ou en raison de son comportement ultérieur. En effet, c'est uniquement en raison de son départ illégal que l'intéressé s'est vu reconnaître cette qualité. La seule question qui se pose est donc de savoir si le recourant a pu prouver, ou du moins rendre vraisemblable qu'il était un réfugié, en raison des événements antérieurs à son départ de son Etat d'origine ou de dernière résidence ; si tel est le cas, l'asile doit lui être accordé.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En effet, sans se prononcer sur la vraisemblance de la détention de quatre mois subie par le recourant en 2014, le Tribunal observe cependant qu'il aurait été régulièrement relâché, une fois sa minorité prouvée ; ensuite de quoi, il serait encore resté plusieurs mois en Erythrée, sans plus être recherché en raison de cette affaire. En conséquence, l'arrestation et l'incarcération de l'intéressé sont très antérieures à son départ, et n'apparaissent pas se trouver à l'origine de celui-ci ; cet épisode est donc sans pertinence en matière d'asile.</w:t>
      </w:r>
    </w:p>
    <w:p>
      <w:r>
        <w:rPr>
          <w:b/>
        </w:rPr>
        <w:t>E. 3.3</w:t>
      </w:r>
    </w:p>
    <w:p>
      <w:r>
        <w:t>Quant à la convocation au service militaire reçue par le recourant, le Tribunal ne peut en admettre la crédibilité. En effet, le requérant allègue qu'il n'aurait jamais eu en mains cette convocation notifiée à sa mère, et n'aurait jamais su où il lui était enjoint de se rendre ; une telle ignorance n'est aucunement vraisemblable, dans la mesure où il s'agit là d'un élément essentiel, de nature à lourdement affecter l'intéressé, et qui constitue, en outre, la base de ses motifs d'asile. Il n'est pas davantage crédible qu'il ait été en mesure de se soustraire à toute recherche des autorités en se cachant simplement "dans la brousse", ainsi qu'il le déclare, aux environs de son village, et ceci durant une longue période. Enfin, la description de son départ d'Erythrée est contradictoire d'une audition à l'autre, et se trouve donc douteuse : le recourant a déclaré, au CEP, qu'il avait recouru aux services d'un passeur payé par ses proches, avant d'affirmer, lors de la seconde audition, être parti spontanément et sans préparation aucune, en compagnie de deux amis mais sans guide, jusqu'en Ethiopie.</w:t>
      </w:r>
    </w:p>
    <w:p>
      <w:r>
        <w:rPr>
          <w:b/>
        </w:rPr>
        <w:t>E. 3.4</w:t>
      </w:r>
    </w:p>
    <w:p>
      <w:r>
        <w:t>Enfin, s'agissant du service militaire, 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reconnaissance de la qualité de réfugié (cf.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une telle hypothèse ne peut être retenue ici, l'intéressé n'ayant produit aucune preuve dans ce sens ; la seule possibilité qu'une convocation puisse lui être adressée dans un avenir plus ou moins proche n'est pas suffisante.</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L'assistance judiciaire ayant été accordée, il n'y a pas lieu de percevoir de frais (art.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le recourant a obtenu gain de cause, s'agissant de la qualité de réfugié et de l'exécution du renvoi ; le recours est en revanche rejeté en matière d'asile. En conséquence, il sera alloué des dépens à hauteur des deux tiers du montant de 1164 francs réclamé par la note de frais jointe au recours pour six heures de travail, soit 776 francs.</w:t>
      </w:r>
    </w:p>
    <w:p>
      <w:r>
        <w:rPr>
          <w:b/>
        </w:rPr>
        <w:t>E. 6.3</w:t>
      </w:r>
    </w:p>
    <w:p>
      <w:r>
        <w:t>Pour le surplus, le Tribunal fixe le montant de l'indemnité du mandataire d'office sur la base du décompte, à défaut sur celle du dossier (art. 14 al. 2 du règlement du 21 février 2008 concernant les frais, dépens et indemnités fixés par le Tribunal administratif fédéral [FITAF, RS 173.320.2]). Le dernier tiers du montant réclamé par la note de frais, à savoir 388 francs pour deux heures de travail (soit le tiers du temps de travail total), excède cependant le tarif horaire de 100 à 150 francs appliqué par le Tribunal aux mandataires non avocats. L'indemnité sera dès lors arrêtée à 300 francs (deux heures au tarif horaire de 150 francs) et à 54 francs de frais de dossier, soit un total de 354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