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E-1627/2007 vom 1. Mai 2007</w:t>
      </w:r>
    </w:p>
    <w:p>
      <w:r>
        <w:t>Bundesverwaltungsgericht, 2007-05-01, DE</w:t>
      </w:r>
    </w:p>
    <w:p>
      <w:r>
        <w:rPr>
          <w:b/>
        </w:rPr>
        <w:t xml:space="preserve">Quelle: </w:t>
      </w:r>
      <w:r>
        <w:t>https://mcp.opencaselaw.ch/entscheid/bvger_E-1627_2007</w:t>
      </w:r>
    </w:p>
    <w:p>
      <w:r>
        <w:t>FR: TAF E-1627/2007 du 1 mai 2007</w:t>
      </w:r>
    </w:p>
    <w:p>
      <w:r>
        <w:t>IT: TAF E-1627/2007 del 1 maggio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Wie bereits in der Zwischenverfügung vom 14. März 2007 festgestellt, wird mit der Beschwerde ausschliesslich der angeordnete Vollzug der Wegweisung angefochten. Die Ziffern 1 (Verneinung der Flüchtlingseigenschaft), 2 (Ablehnung des Asylgesuchs) und 3 (Anordnung der Wegweisung) des Dispositivs der Verfügung des BFM vom 6. Februar 2007 sind somit mangels Anfechtung in Rechtskraft erwachsen. Gegenstand des vorliegenden Beschwerdeverfahrens bildet somit einzig die Frage, ob entsprechend den Rechtsbegehren wegen Unzumutbarkeit des Vollzugs der Wegweisung die vorläufige Aufnahme anzuordnen ist (vgl. Art. 44 Abs. 2 AsylG i.V.m. Art. 14a Abs. 4 ANAG).</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Der Vollzug ist nicht möglich, wenn der Ausländer weder in den Herkunfts- oder in den Heimatstaat noch in einen Drittstaat ausreisen oder dorthin gebracht werden kann. Er ist nicht zulässig, wenn völkerrechtliche Verpflichtungen der Schweiz einer Weiterreise des Ausländers in seinen Heimat-, Herkunfts- oder einen Drittstaat entgegenstehen. Nicht zumutbar kann der Vollzug der Wegweisung insbesondere sein, wenn er für den Ausländer eine konkrete Gefährdung darstellt (vgl. Art. 14a Abs. 2, 3 und 4 ANAG).</w:t>
      </w:r>
    </w:p>
    <w:p>
      <w:r>
        <w:rPr>
          <w:b/>
        </w:rPr>
        <w:t>E. 4.2</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(EMARK 2001 Nr. 1 S. 2 E. 6a). Gegen eine allfällige Aufhebung der vorläufigen Aufnahme steht dem (ab- und weggewiesenen) Asylsuchenden wiederum die Beschwerde an das Bundesverwal-tungsgericht offen (vgl. Art. 105 Abs. 1 AsylG), wobei in dem Verfahren sämtliche Vollzugshindernisse von Amtes wegen und nach Massgabe der zu diesem Zeitpunkt herrschenden Verhältnisse (EMARK 2006 Nr. 6 E. 4.2., S. 54 f.; 1997 Nr. 27 S. 205 ff.) von neuem zu prüfen sind.</w:t>
      </w:r>
    </w:p>
    <w:p>
      <w:r>
        <w:rPr>
          <w:b/>
        </w:rPr>
        <w:t>E. 5.1</w:t>
      </w:r>
    </w:p>
    <w:p>
      <w:r>
        <w:t>Der Vollzug der Wegweisung kann gemäss Art. 14a Abs. 4 ANAG insbesondere nicht zumutbar sein, wenn er für den Ausländer eine konkrete Gefährdung darstellt. Eine solche kann angesichts der im Heimatland herrschenden allgemeinen politischen Lage, die sich durch Krieg, Bürgerkrieg oder durch eine Situation allgemeiner Gewalt kennzeichnet, angenommen werden. Ferner ist von einer konkreten Gefährdung auszugehen, wenn eine Person nach ihrer Rückkehr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Gesundheitszustandes, der Invalidität oder sogar dem Tod ausgeliefert wäre (vgl. EMARK 1995 Nr. 5 E. 6e S. 47; 1994 Nr. 18 S. 139 ff.; Nr. 19 S. 145 ff. und Nr. 20 S. 155 ff.).</w:t>
      </w:r>
    </w:p>
    <w:p>
      <w:r>
        <w:rPr>
          <w:b/>
        </w:rPr>
        <w:t>E. 5.2</w:t>
      </w:r>
    </w:p>
    <w:p>
      <w:r>
        <w:t>In ihrem in EMARK 2006 Nr. 9 publizierten Urteil nahm die ARK aufgrund der poli-tischen Entwicklung seit dem Sturz des Taliban-Regimes im Jahre 2001 eine diffe-renzierte Lagebeurteilung vor und prüfte - nach in EMARK 2003 Nr. 10 und 30 publizierten Urteilen - erneut die Zumutbarkeit des Vollzugs der Wegweisung nach Afghanistan. Auf der Grundlage der neuen demokratischen Verfassung vom Januar 2004 wurde der bisherige Präsident der Übergangsregierung, Hamid Karzai, anlässlich der Präsidentschaftswahlen vom Oktober 2004 an der Spitze der Regierung bestätigt. In der Folge fanden am 18. September 2005 Parlamentswahlen statt, und anfangs Dezember 2005 wurde das Oberhaus geschaffen. Trotz dieser Entwicklung auf institutioneller Ebene konnten viele Probleme im Bereich der Sicherheit, der De-mokratie, des Rechtsstaats, der wirtschaftlichen Entwicklung und der medizinischen Infrastruktur (noch) nicht gelöst werden. Die humanitäre und wirtschaftliche Situation bleibt weiterhin prekär (vgl. EMARK 2003 Nr. 10 Erw. 10b.bb S. 67 f.). Bezüglich der Sicherheitslage ist festzuhalten, dass in Afghanistan nach wie vor ausländische Truppen stationiert sind, die Teil der so genannten Koalitionstruppen und der International Security Assistance Force (ISAF) sind. Ihre Aktionen sind vorwiegend gegen Partisanen des alten Regimes und Personen, die der Zugehö-rigkeit oder Nähe zur Al-Qa'ida verdächtigt werden, gerichtet. Die ISAF hat sich seit Oktober 2003 kontinuierlich von Kabul in den Norden und Nordosten Afgha-nistans vorangearbeitet und wesentlich zur Stabilisierung dieser Regionen beige-tragen. Im September 2005 konnte sie die weitgehende Befriedung der Regionen im Westen des Landes sicherstellen und beabsichtigt, ihren Aktionsradius im Sü-den auszudehnen. Dank der Bemühungen der Regierung und der internationalen Truppen konnte in der Stadt Kabul, in ihrer Umgebung und in verschiedenen im Norden der Hauptstadt gelegenen Städten ein genügendes Sicherheitsniveau ge-schaffen werden. In Mazar-e-Sharif kann die Sicherheitslage heute als befriedi-gend bezeichnet werden, und auch im Westen in der Provinz Herat ist von einer relativ ruhigen Lage auszugehen. In den Regionen im Osten, Südosten und Süden Afghanistans hingegen muss immer noch von einer Situation allgemeiner Gewalt gesprochen werden. Zusammenfassend kam die ARK in ihrem in EMARK 2006 Nr. 9 publizierten Urteil zum Schluss, dass der Vollzug der Wegweisung nur in Regionen als zumutbar zu bezeichnen ist, in denen seit 2004 keine bedeutenden militärischen Aktivitäten mehr zu verzeichnen sind oder keine dauernde Instabilität besteht. Darunter fallen die Provinz Kabul (vgl. bereits EMARK 2003 Nr. 10), die nördlich der Hauptstadt gelegenen Provinzen Parwan, Baghlan, Takhar, Badakhshan, Kunduz, Balkh, Sari Pul und die Gebiete um Samangan, die nicht zum Hazarajat gehören (traditionelles Siedlungsgebiet der Hazara, vgl. EMARK 2003 Nr. 30 E. 7a S. 193) sowie die Pro-vinz Herat im Westen des Landes. Der Vollzug der Wegweisung ist nur für Perso-nen als zumutbar zu erachten, die aus diesen Regionen stammen oder dort über ein tragfähiges Beziehungsnetz verfügen und wenn konkrete Möglichkeiten der Si-cherung des Existenzminimums und der Wohnsituation bestehen (vgl. dazu EMARK 2003 Nr. 10 E. 10b.cc S. 68; Nr. 30 Erw. 7b S. 193 f.). Zudem ist die Rückkehr in diese Provinzen nur zumutbar bei jungen, unverheirateten Personen oder kinderlosen Paaren ohne schwere gesundheitliche Probleme.</w:t>
      </w:r>
    </w:p>
    <w:p>
      <w:r>
        <w:rPr>
          <w:b/>
        </w:rPr>
        <w:t>E. 5.3</w:t>
      </w:r>
    </w:p>
    <w:p>
      <w:r>
        <w:t>Das BFM äusserte in seiner Verfügung vom 6. Februar 2007 keine Zweifel an der Ethnie und der Herkunft des Beschwerdeführers aus dem Hazarajet in der Provinz Ghazni. Seine Einschätzung, wonach das Hazarajat nach übereinstimmender aktueller Einschätzung aus Expertenkreisen im innerafghanischen Vergleich zu den sichereren Regionen des Landes zähle und dementsprechend dort nicht von einer permanent instabilen Lage gesprochen werden könne, trifft nach den Erkenntnissen des Bundesverwaltungsgerichts nicht zu. Im in (EMARK 2003 Nr. 30 E. 6c S. 192 f.) publizierten Urteil stellte die ARK fest, dass eine Rückkehr in den ge-samten Hazarajat, wozu auch ein Teil der Provinz Ghazni zählt, insbesondere in-folge der prekären Nahrungssituation, der Minenfelder, der angespannten Sicher-heitslage und des oftmals erschwerten Zugangs zu Hilfeleistungen der internati-onalen Organisationen als existenzbedrohend und damit generell als unzumutbar zu qualifizieren sei. Diese Lageanalyse (bestätigt in EMARK 2006 Nr. 9 E. 7.5 S. 99 f.) wird vom Bundesverwaltungsgericht geteilt. Unter diesen Umständen ist für den Beschwerdeführer - entgegen der Ansicht der Vorinstanz - die Rückkehr in seine Herkunftsregion nicht zumutbar.</w:t>
      </w:r>
    </w:p>
    <w:p>
      <w:r>
        <w:rPr>
          <w:b/>
        </w:rPr>
        <w:t>E. 5.4</w:t>
      </w:r>
    </w:p>
    <w:p>
      <w:r>
        <w:t>Abzuklären bleibt demnach, ob es dem Beschwerdeführer zuzumuten ist, sich im Grossraum Kabul oder in einer der anderen vorstehend unter Punkt 5.2 genannten Provinzen niederzulassen. Dies ist dann der Fall, wenn dort ein tragfähiges Be-ziehungsnetz vorhanden ist sowie konkrete Möglichkeiten der Sicherung des Exis-tenzminimums und der Wohnsituation bestehen (vgl. EMARK 2003 Nr. 10 E. 10b.cc S. 68; Nr. 30 E. 7b S. 193 f.). Bezüglich der persönlichen Situation des Beschwerdeführers ist festzuhalten, dass er nach eigenen Angaben keinen Beruf erlernt und zuletzt als Steinmetz in Isfahan (Iran) gearbeitet hat (Akten Vorinstanz A 1/9 S. 2 ). Den Befragungsprotokollen zufolge soll sein Vater getötet worden sein (A 1/9 S. 4); seine Mutter und ein Onkel väterlicherseits leben in A._______ in der Provinz Ghazni und zwei Cousins in C._______ im Iran (A 1/9 S. 3). Hinweise darauf, dass der Beschwerdeführer über enge Beziehungen zu in Kabul oder in anderen Provinzen lebenden Personen verfügt, ergeben sich aufgrund der Akten nicht. Es ist demnach nicht davon auszugehen, dass der Beschwerdeführer ausserhalb seiner Heimatprovinz über eine gesicherte Wohnsituation und ein tragfähiges Familien- oder Beziehungsnetz verfügt, um sich dort eine Existenzgrundlage aufbauen beziehungsweise sichern zu können. Eine Rückkehr nach Kabul oder in eine andere Provinz kann dem Beschwerdeführer daher nicht zugemutet werden.</w:t>
      </w:r>
    </w:p>
    <w:p>
      <w:r>
        <w:rPr>
          <w:b/>
        </w:rPr>
        <w:t>E. 5.5</w:t>
      </w:r>
    </w:p>
    <w:p>
      <w:r>
        <w:t>Zusammenfassend ist festzustellen, dass der Vollzug der Wegweisung nach Afghanistan für den Beschwerdeführer im Sinne von Art. 14a Abs. 4 ANAG als unzumutbar zu bezeichnen ist. Aus den Akten ergeben sich im Übrigen keine Hinweise auf allfällige Ausschlussgründe gemäss Art. 14a Abs. 6 ANAG.</w:t>
      </w:r>
    </w:p>
    <w:p>
      <w:r>
        <w:rPr>
          <w:b/>
        </w:rPr>
        <w:t>E. 6</w:t>
      </w:r>
    </w:p>
    <w:p>
      <w:r>
        <w:t>Nach dem Gesagten ist die Beschwerde gutzuheissen. Die Ziffern 4 (Anordnung der Weigweisung) und 5 (Vollzug der Wegweisung) des Dispositivs der Verfügung des BFM vom 6. Februar 2007 sind aufzuheben. Das BFM ist anzuweisen, den Au-fenthalt des Beschwerdeführers nach den gesetzlichen Bestimmungen über die vorläufige Aufnahme zu regeln (vgl. Art. 44 Abs. 2 AsylG und Art. 14a Abs. 4 ANAG).</w:t>
      </w:r>
    </w:p>
    <w:p>
      <w:r>
        <w:rPr>
          <w:b/>
        </w:rPr>
        <w:t>E. 7.1</w:t>
      </w:r>
    </w:p>
    <w:p>
      <w:r>
        <w:t>Bei diesem Ausgang des Beschwerdeverfahrens sind keine Kosten aufzuerlegen (Art. 63 Abs. 1 VwVG). Das Gesuch um Gewährung der unentgeltlichen Rechtspflege (Art. 65 Abs. 1 VwVG) ist damit gegenstandslos.</w:t>
      </w:r>
    </w:p>
    <w:p>
      <w:r>
        <w:rPr>
          <w:b/>
        </w:rPr>
        <w:t>E. 7.2</w:t>
      </w:r>
    </w:p>
    <w:p>
      <w:r>
        <w:t>Gemäss Artikel 7 Abs. 1 des Reglements über die Kosten und Entschädigungen vor dem Bundesverwaltungsgericht vom 11. Dezember 2006 (VGKE, SR 173.320.2) haben obsiegende Parteien Anspruch auf eine Parteientschädigung für die ihnen erwachsenen notwendigen Kosten.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Mit der eingereichten Kostennote vom 26. März 2007 macht der Rechtsvertreter des Beschwerdeführers einen zeitlichen Aufwand von 6.25 Stunden zu einem Stundenansatz von Fr. 150.-- und Spesen von Fr. 50.-- zuzüglich Mehrwertsteuer geltend. Das Bundesverwaltungsgericht erachtet die Kosten der Vertretung als angemessen. Das BFM ist anzuweisen, dem Beschwerdeführer für das Verfahren vor dem Bundesverwaltungsgericht eine Parteientschädigung von Fr. 1062.55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