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E-1624/2011 vom 6. November 2013</w:t>
      </w:r>
    </w:p>
    <w:p>
      <w:r>
        <w:t>Bundesverwaltungsgericht, 2013-11-06, FR</w:t>
      </w:r>
    </w:p>
    <w:p>
      <w:r>
        <w:rPr>
          <w:b/>
        </w:rPr>
        <w:t xml:space="preserve">Quelle: </w:t>
      </w:r>
      <w:r>
        <w:t>https://mcp.opencaselaw.ch/entscheid/bvger_E-1624_2011</w:t>
      </w:r>
    </w:p>
    <w:p>
      <w:r>
        <w:t>FR: TAF E-1624/2011 du 6 novembre 2013</w:t>
      </w:r>
    </w:p>
    <w:p>
      <w:r>
        <w:t>IT: TAF E-1624/2011 del 6 novembre 2013</w:t>
      </w:r>
    </w:p>
    <w:p>
      <w:pPr>
        <w:pStyle w:val="Heading2"/>
      </w:pPr>
      <w:r>
        <w:t>Regeste</w:t>
      </w:r>
    </w:p>
    <w:p>
      <w:r>
        <w:t>Renvoi et exécution du renvoi (recours réexamen)</w:t>
      </w:r>
    </w:p>
    <w:p>
      <w:pPr>
        <w:pStyle w:val="Heading2"/>
      </w:pPr>
      <w:r>
        <w:t>Erwägungen</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(ATAF 2010/5 consid. 2.1.1 p. 59) ou lorsqu'elle constitue une « demande d'adaptation », à savoir lorsque le requérant se prévaut d'un changement notable de circonstances depuis le prononcé de la décision concernée ou, en cas de recours, depuis le prononcé de l'arrêt sur recours (ATAF 2010/27 consid. 2.1 p. 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précité, consid. 2.1.1. p. 368 ; Jurisprudence et informations de la Commission suisse de recours en matière d'asile [JICRA] 2000 n° 5 p. 44 ss).</w:t>
      </w:r>
    </w:p>
    <w:p>
      <w:r>
        <w:rPr>
          <w:b/>
        </w:rPr>
        <w:t>E. 2.3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(JICRA n° 2003 n° 17 consid. 2, p. 103-104).</w:t>
      </w:r>
    </w:p>
    <w:p>
      <w:r>
        <w:rPr>
          <w:b/>
        </w:rPr>
        <w:t>E. 3.1.1</w:t>
      </w:r>
    </w:p>
    <w:p>
      <w:r>
        <w:t>Les recourants ont conclu au prononcé de l'admission provisoire en raison du caractère illicite ou inexigible de l'exécution de leur renvoi. Par ailleurs, au moyen des trois documents produits le 22 mars 2011 (cf. état de fait, let. G), ils entendent établir la vraisemblance des déclarations faites lors des différentes auditions en procédure ordinaire et reviennent ainsi sur leurs motifs d'asile.</w:t>
      </w:r>
    </w:p>
    <w:p>
      <w:r>
        <w:rPr>
          <w:b/>
        </w:rPr>
        <w:t>E. 3.1.2</w:t>
      </w:r>
    </w:p>
    <w:p>
      <w:r>
        <w:t>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L'objet du litige est quant à lui défini par les points du dispositif expressément attaqués par le recourant (ATAF 2009/54 consid. 1.3.3 ; Jurisprudence et informations de la Commission suisse de recours en matière d'asile [JICRA] 1998 n° 27 consid. 9c/aa). Le juge ne peut sortir du cadre de l'objet du litige tel qu'il résulte des conclusions des parties (Pierre Moor/Etienne Poltier, Droit administratif, vol. II, 3e éd., Berne 2011, ch. 5.8.4.2, p. 824). Une requête qui sort du cadre de ce qui a été décidé par l'instance précédente ou qui n'a pas de rapport avec l'objet de la décision attaquée est en principe irrecevable (ATAF 2009/37 consid. 1.3.1 ; André Moser/Michael Beusch/Lorenz Kneubühler, Prozessieren vor dem Bundesverwaltungsgericht, Bâle 2008, p. 95 n° 2.213).</w:t>
      </w:r>
    </w:p>
    <w:p>
      <w:r>
        <w:rPr>
          <w:b/>
        </w:rPr>
        <w:t>E. 3.1.3</w:t>
      </w:r>
    </w:p>
    <w:p>
      <w:r>
        <w:t>Dans leur demande de réexamen du 14 janvier 2011, les recourants ont conclu à l'annulation de la décision de l'ODM du 22 décembre 2009, à ce qu'il soit constaté que l'exécution du renvoi n'est pas raisonnablement exigible ainsi qu'au prononcé de l'admission provisoire. L'argumentation de la demande porte uniquement sur la question de l'exigibilité de l'exécution du renvoi. Dans la décision querellée du 15 février 2011, l'ODM ne s'est dès lors prononcé que sur cette question. Partant, l'objet du litige est limité à celle-ci.</w:t>
      </w:r>
    </w:p>
    <w:p>
      <w:r>
        <w:rPr>
          <w:b/>
        </w:rPr>
        <w:t>E. 3.2</w:t>
      </w:r>
    </w:p>
    <w:p>
      <w:r>
        <w:t>Au vu de ce qui précède, les recourants ne sauraient étendre l'objet de la procédure à la question de la non-entrée en matière sur leur demande d'asile et à celle de la licéité du renvoi, que ce soit au travers de la motivation ou bien des conclusions plus étendues dans le mémoire de recours du 15 mars 2011 ou des documents produits le 22 mars 2011. Le recours est dès lors irrecevable en tant qu'il porte sur ces conclusions et les pièces versées au dossier y relatives écartées.</w:t>
      </w:r>
    </w:p>
    <w:p>
      <w:r>
        <w:rPr>
          <w:b/>
        </w:rPr>
        <w:t>E. 3.3</w:t>
      </w:r>
    </w:p>
    <w:p>
      <w:r>
        <w:t>Quant aux différents rapports médicaux produits au cours de la procédure, ils portent bien sur des faits postérieurs à la clôture de la procédure ordinaire, de sorte qu'il s'agit de moyens de preuve nouveaux tendant à attester l'aggravation de l'état de santé de l'intéressé (modification notable des circonstances). Ces pièces sont donc des moyens de réexamen dont l'ODM s'est saisis à juste titre. Le recours est donc recevable sur ce point.</w:t>
      </w:r>
    </w:p>
    <w:p>
      <w:r>
        <w:rPr>
          <w:b/>
        </w:rPr>
        <w:t>E. 4</w:t>
      </w:r>
    </w:p>
    <w:p>
      <w:r>
        <w:t>Les recourants reprochent à l'autorité intimée d'avoir insuffisamment motivé la décision querellée, violant ainsi leur droit d'être entendu. Prévue à l'article 35 PA, l'obligation de motiver les décisions est respectée dès lors que l'autorité mentionne, au moins brièvement, les motifs qui l'ont guidée et sur lesquels elle a fondé sa décision ; ce qui importe, c'est que l'intéressé puisse se rendre compte de la portée de celle-ci et l'attaquer en connaissance de cause (ATAF 2012/23 p. 445 consid. 6.1.2 ; ATF 138 I 232 consid. 5.1 ; Thierry Tanquerel, Manuel de droit administratif, Genève / Bâle / Zurich 2011, n° 1573). A la lecture du mémoire de recours, force est de constater que les recourants ont à l'évidence pu saisir les motifs sur lesquels l'ODM a fondé la décision litigieuse et pu la contester en connaissance de cause. Le recours doit dès lors être rejeté sur ce point.</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ATAF 2009/52 consid. 10.1, ATAF 2008/34 consid. 11.2.2 et ATAF 2007/10 consid. 5.1).</w:t>
      </w:r>
    </w:p>
    <w:p>
      <w:r>
        <w:rPr>
          <w:b/>
        </w:rPr>
        <w:t>E. 6.2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 Cela étant, il sied de préciser que si, dans un cas d'espèce, la gravité de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 p. 157 s.).</w:t>
      </w:r>
    </w:p>
    <w:p>
      <w:r>
        <w:rPr>
          <w:b/>
        </w:rPr>
        <w:t>E. 6.3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w:t>
      </w:r>
    </w:p>
    <w:p>
      <w:r>
        <w:rPr>
          <w:b/>
        </w:rPr>
        <w:t>E. 6.4</w:t>
      </w:r>
    </w:p>
    <w:p>
      <w:r>
        <w:t>En l'espèce, il s'agit d'examiner si les certificats médicaux produits à l'appui de la procédure de réexamen permettent d'aboutir à une appréciation différente de celle effectuée en procédure ordinaire, à savoir si l'état de santé actuel des intéressés rend l'exécution de leur renvoi en Mongolie inexigible.</w:t>
      </w:r>
    </w:p>
    <w:p>
      <w:r>
        <w:rPr>
          <w:b/>
        </w:rPr>
        <w:t>E. 6.4.1</w:t>
      </w:r>
    </w:p>
    <w:p>
      <w:r>
        <w:t>Il ressort du rapport médical du 21 septembre 2010 que C._______ souffrait d'un état de stress post-traumatique avec état anxio-dépressif majeur (CIM 10 F43.1) et avait été victime d'une agression par la force physique (CIM 10 Y04). Invités à produire des rapports médicaux actualisés, les recourants n'ont fourni aucun rapport concernant C._______. Dès lors, le Tribunal ne saurait retenir qu'elle est atteinte dans sa santé d'une manière significative. Le Tribunal relève pour le surplus que l'attestation du 15 juin 2010, dans la mesure où elle remet en cause l'exigibilité du renvoi parce que C._______ aurait cessé de fréquenter les cours le 10 septembre 2009 pour des raisons médicales, ne change rien à cette appréciation.</w:t>
      </w:r>
    </w:p>
    <w:p>
      <w:r>
        <w:rPr>
          <w:b/>
        </w:rPr>
        <w:t>E. 6.4.2</w:t>
      </w:r>
    </w:p>
    <w:p>
      <w:r>
        <w:t>Quant à B._______, elle souffrait d'un épisode dépressif sévère sans symptômes psychotiques (CIM 10 F32.2) ainsi que d'un probable état de stress post-traumatique (CIM 10 F43.1) selon les rapports médicaux des 27 août et 28 décembre 2010. Invitée à produire un rapport médical actualisé, la recourante a produit une attestation datée du 6 juin 2013 selon laquelle elle a été suivie auprès de G._______ du 20 juillet 2010 au 20 juillet 2012 et y a repris un suivi à partir du 6 juin 2013. Aucun rapport médical concernant la période du 20 juillet 2012 au 6 juin 2013 n'a été produit. La recourante n'a apparemment repris son suivi auprès de cette institution qu'à la réception de l'ordonnance du juge instructeur l'invitant à fournir un rapport médical actualisé. Le Tribunal retient dès lors qu'à compter du mois de juillet 2012, l'état de santé de l'intéressée s'est suffisamment amélioré pour ne plus nécessiter de suivi médical.</w:t>
      </w:r>
    </w:p>
    <w:p>
      <w:r>
        <w:rPr>
          <w:b/>
        </w:rPr>
        <w:t>E. 6.5</w:t>
      </w:r>
    </w:p>
    <w:p>
      <w:r>
        <w:t>Quand bien même l'état de santé des intéressées s'est sensiblement amélioré, le Tribunal relève à toutes fins utiles que des soins psychiatriques sont disponibles en Mongolie, en particulier à Oulan-Bator, d'où proviennent les recourants.</w:t>
      </w:r>
    </w:p>
    <w:p>
      <w:r>
        <w:rPr>
          <w:b/>
        </w:rPr>
        <w:t>E. 6.5.1</w:t>
      </w:r>
    </w:p>
    <w:p>
      <w:r>
        <w:t>D'une manière générale, les structures de soins en Mongolie sont gérées par le Ministère de la santé et sont articulées sur trois niveaux, basées sur les structures administratives, à savoir le niveau primaire (des dispensaires se trouvant dans les zones rurales isolées "sum", se concentrent sur les cas urgents et les soins de base), secondaire (les hôpitaux régionaux se trouvant dans les capitales locales, appelées "aimag") et tertiaire (les hôpitaux spécialisés se trouvant pour la plupart à Oulan-Bator). En outre, les Mongols peuvent se faire soigner dans des cabinets et cliniques publics et privés, les prix étant bien entendu plus élevés dans le secteur privé. Les pharmacies sont elles aussi publiques ou privées (cf. Health Service Delivery Profile, Mongolia 2012, WHO and Ministry of Health p. 2). En incluant tant les entités publiques que privées, il y aurait notamment 6'162 médecins dans l'ensemble du pays (soit environ un pour 450 habitants) de même que 319 pharmacies (cf. Organisation internationale pour les migrations [OIM], Information on Return and Reintegration in Mongolia, Janvier 2012 p. 4, http://www.ch.iom.int/fileadmin/media/pdf/programme/rif/FINAL_RIF_Countrysheet_Mongolia.pdf, consulté le 8 octobre 2013).</w:t>
      </w:r>
    </w:p>
    <w:p>
      <w:r>
        <w:rPr>
          <w:b/>
        </w:rPr>
        <w:t>E. 6.5.2</w:t>
      </w:r>
    </w:p>
    <w:p>
      <w:r>
        <w:t>S'agissant plus spécifiquement des soins psychiatriques, il n'y a certes qu'un hôpital psychiatrique en Mongolie, doté de 450 lits et sis à Oulan-Bator. Mais à cela s'ajoutent, notamment, des unités psychiatriques de 5 à 15 lits dans les hôpitaux régionaux ou "aimags". Si la formation de 90% des spécialistes remonte certes aux années 1970 ou 1980, 40% des médecins généralistes ont récemment pu améliorer leurs compétences pour traiter les affections psychiques. Enfin, alors que l'accès aux soins psychiatriques est garanti de façon inégale dans le pays, ceux qui, à l'instar des recourants, sont domiciliés dans la capitale ou à proximité sont favorisés (OMS, Health Systems in Transition: Mongolia Health System Review, Vol. 3 No 2 2013, p. 124 s.).</w:t>
      </w:r>
    </w:p>
    <w:p>
      <w:r>
        <w:rPr>
          <w:b/>
        </w:rPr>
        <w:t>E. 6.6</w:t>
      </w:r>
    </w:p>
    <w:p>
      <w:r>
        <w:t>L'état de santé de C._______ ainsi que de B._______ ne constitue dès lors pas un obstacle à l'exécution du renvoi au sens de la jurisprudence précitée.</w:t>
      </w:r>
    </w:p>
    <w:p>
      <w:r>
        <w:rPr>
          <w:b/>
        </w:rPr>
        <w:t>E. 7</w:t>
      </w:r>
    </w:p>
    <w:p>
      <w:r>
        <w:t>Pour ces motifs, l'exécution du renvoi ne viole pas les dispositions légales en la matière. Il s'ensuit que le recours doit être rejeté sur ce point.</w:t>
      </w:r>
    </w:p>
    <w:p>
      <w:r>
        <w:rPr>
          <w:b/>
        </w:rPr>
        <w:t>E. 8</w:t>
      </w:r>
    </w:p>
    <w:p>
      <w:r>
        <w:t>Les recourants contestent en outre l'émolument de 600 francs mis à leur charge par l'autorité intimée dans la décision querellée. Selon l'article 17b alinéa 1 LAsi, l'ODM perçoit un émolument s'il n'entre pas en matière sur une demande de réexamen ou s'il la rejette. Sur requête, l'office dispense la personne qui a déposé la demande de réexamen du paiement des frais de procédure si elle est indigente et que sa demande n'apparaît pas d'emblée vouée à l'échec (art. 17b al. 2 LAsi). Les derniers certificats médicaux fournis à l'appui de la demande de réexamen du 14 janvier 2011 faisaient déjà état d'une légère amélioration de l'état de santé de B._______ (rapport médical du 28 décembre 2010, ch. 1.4) et d'une amélioration des symptômes pour C._______, après son hospitalisation en juillet 2010 (rapport médical du 21 septembre 2010, ch. 1.4). C'est donc à juste titre que l'ODM n'a pas dispensé les recourants du paiement des frais de procédure. Le recours s'avère ainsi mal fondé sur ce point également.</w:t>
      </w:r>
    </w:p>
    <w:p>
      <w:r>
        <w:rPr>
          <w:b/>
        </w:rPr>
        <w:t>E. 9</w:t>
      </w:r>
    </w:p>
    <w:p>
      <w:r>
        <w:t>Le Tribunal admet la requête d'assistance judiciaire partielle des recourants, compte tenu de leur indigence et du fait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