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E-1623/2024 vom 19. April 2024</w:t>
      </w:r>
    </w:p>
    <w:p>
      <w:r>
        <w:t>Bundesverwaltungsgericht, 2024-04-19, FR</w:t>
      </w:r>
    </w:p>
    <w:p>
      <w:r>
        <w:rPr>
          <w:b/>
        </w:rPr>
        <w:t xml:space="preserve">Quelle: </w:t>
      </w:r>
      <w:r>
        <w:t>https://mcp.opencaselaw.ch/entscheid/bvger_E-1623_2024</w:t>
      </w:r>
    </w:p>
    <w:p>
      <w:r>
        <w:t>FR: TAF E-1623/2024 du 19 avril 2024</w:t>
      </w:r>
    </w:p>
    <w:p>
      <w:r>
        <w:t>IT: TAF E-1623/2024 del 19 aprile 2024</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soutient qu'il était exposé, de la part de personnes privées, à un danger de persécution en raison de son homosexualité, soit de son appartenance à un groupe social au sens de l'art. 3 al. 2 LAsi, contre lequel les autorités n'auraient pas pu le protéger.</w:t>
      </w:r>
    </w:p>
    <w:p>
      <w:r>
        <w:rPr>
          <w:b/>
        </w:rPr>
        <w:t>E. 3.2</w:t>
      </w:r>
    </w:p>
    <w:p>
      <w:r>
        <w:t>Son récit, détaillé et complet, apparaît crédible dans ses grandes lignes, bien qu'il comporte certains points peu clairs. Ainsi, il est vraisemblable qu'en raison de son homosexualité, l'intéressé se soit trouvé en butte à l'hostilité de plusieurs habitants de E._______ et ait reçu des menaces, directes ou en ligne, de certaines personnes dont l'identité demeure cependant inconnue ; en effet, il est probable que les auteurs des messages aient usé de pseudonymes. Dans ce contexte, les contradictions et imprécisions retenues par le SEM n'apparaissent pas décisives. Le recourant s'est certes exprimé de façon quelque peu confuse sur l'assistance qu'il aurait sollicitée de la police locale, son récit ne suivant pas toujours un ordre chronologique. L'examen des propos permet cependant de retenir qu'après plusieurs hésitations, due à son appréhension de ne pas pouvoir obtenir une protection, il se serait présenté au commissariat de E._______ en avril ou mai 2023 et aurait été éconduit ; ses amis N._______ et O._______ l'aurait alors averti que rien ne pourrait être entrepris tant que les auteurs des menaces demeuraient inconnus. Après l'agression dirigée contre lui, l'intéressé ne se serait plus senti le courage d'entreprendre d'autres démarches (cf. procès-verbal [p-v] de l'audition du 27 février 2024, questions 46 [p. 9, 2e par.], 47 [2e par.], 61, 62, 79 à 86, 90, 92 et 93). Comme l'a relevé le SEM, la nature de l'agression subie par le recourant n'est pas claire, qu'il s'agisse d'un viol, comme il l'a déclaré ou d'une simple tentative, ainsi que le retiennent les documents judiciaires déposés. Quoi qu'il en soit, le Tribunal ne voit pas de raison suffisante de remettre en cause la réalité de cet événement, dont l'intéressé a décrit les circonstances de manière détaillée (cf. idem, questions 98 à 103). Il l'a certes d'abord situé au (...) juillet 2023 (ce que confirment les documents produits en copie), puis au (...) juin précédent ; l'imprécision chronologique de ses déclarations sur ce point, en partie explicable par le caractère traumatisant des faits, ne suffit cependant pas non plus à en exclure la crédibilité. Il en va de même de l'existence de menaces personnelles contre son ami M._______, dont le SEM fait grief au recourant de n'avoir pas parlé (cf. décision du SEM, p. 5). L'intéressé expose qu'ils auraient eu une courte relation à laquelle son ami aurait mis fin, en raison des difficultés qu'il rencontrait avec sa famille et ses connaissances (cf. p-v de l'audition du 27 février 2024, questions 63 à 69). Deux des messages de menaces font indirectement référence à ce dernier, sans toutefois le nommer, et l'intéressé a confirmé que son ami avait lui aussi été menacé (cf. idem, question 96) ; la contradiction relevée par le SEM paraît ainsi ne pas exister, étant précisé que ce n'est pas parce que M._______ aurait mis fin à sa relation avec le recourant qu'il n'aurait pas pu recevoir des menaces. Enfin, le départ de Colombie du recourant n'a certes eu lieu que trois mois après l'agression dirigée contre lui, ainsi que l'a relevé le SEM ; un tel délai n'est cependant pas en soi incompatible avec la réalité des risques encourus, l'organisation pratique du voyage nécessitant un certain délai. En revanche, il apparaît qu'après être arrivé en Espagne en date du (...) octobre 2023, l'intéressé aurait passé plusieurs semaines en Suisse, hébergé par son correspondant, avant d'y déposer une demande d'asile (cf. p-v de l'audition du 27 février 2024, question 47 [p. 10, avant-dernier paragraphe]), comportement qui n'est pas celui d'une personne soucieuse de se mettre le plus rapidement possible à l'abri d'un danger de persécution.</w:t>
      </w:r>
    </w:p>
    <w:p>
      <w:r>
        <w:rPr>
          <w:b/>
        </w:rPr>
        <w:t>E. 3.3</w:t>
      </w:r>
    </w:p>
    <w:p>
      <w:r>
        <w:t>Cela étant, indépendamment de la vraisemblance des motifs d'asile allégués, il ressort des déclarations du recourant que la police de E._______ ne lui aurait pas sciemment refusé sa protection : en effet, faute de renseignements exploitables, elle se serait trouvée dans l'incapacité d'identifier les auteurs des menaces, que l'intéressé lui-même n'aurait pas connus ; ses deux amis policiers l'auraient d'ailleurs averti que tel risquait d'être le cas. Par la suite, l'intéressé n'aurait pas non plus informé la police de E._______ de l'agression subie, empêchant ainsi toute enquête sur celle-ci. Cela étant, quand bien même la police locale aurait, par hypothèse, manifesté une mauvaise volonté à lui apporter de l'aide, il apparaît qu'en février 2024, la « fiscalia » du département de F._______ a classé la plainte déposée par le recourant après son arrivée en Suisse, faute de pistes exploitables ; ce dernier n'avait pu de surcroît se présenter en personne, comme il avait été invité à le faire. Le (...) mars 2024, il a déposé une seconde plainte auprès de la même autorité, à la suite de nouvelles menaces ; si les suites n'en sont pas encore connues, ladite plainte fait d'ores et déjà l'objet d'un suivi par la « denfensoria del pueblo » du même département. Il apparaît ainsi que les autorités pénales ne lui ont pas délibérément refusé leur protection pour un motif pertinent au sens de l'art. 3 LAsi et qu'aucun indice ne permet en l'état de retenir qu'elles le feraient à l'avenir (cf. arrêt de principe ATAF 2011/51 consid. 7.1 à 7.4). Le Tribunal a en outre déjà constaté que plusieurs associations soutenaient les homosexuels en Colombie, bien que ceux-ci se heurtent aux préjugés d'une partie de la population ou de certains membres des corps de police, surtout dans les campagnes ; la discrimination basée sur l'orientation sexuelle n'en est pas moins pénalement réprimée (cf. arrêts du Tribunal E-2705/2023 du 23 mai 2023 consid. 6.2.2 ; E-1226/2021 du 22 avril 2021 consid. 6.2.2, 6.2.3 et réf. cit. ; E-3455/2020 du 17 août 2021 consid. 6.3, 6.4 et réf.cit.).</w:t>
      </w:r>
    </w:p>
    <w:p>
      <w:r>
        <w:rPr>
          <w:b/>
        </w:rPr>
        <w:t>E. 3.4</w:t>
      </w:r>
    </w:p>
    <w:p>
      <w:r>
        <w:t>Dès lors, l'intéressé n'a pas fait apparaître le sérieux et la pertinence de ses motifs d'asile. Il s'ensuit que le recours doit être rejeté, en tant qu'il conteste le refus de reconnaître sa qualité de réfugié et celui de l'octroi de l'asile.</w:t>
      </w:r>
    </w:p>
    <w:p>
      <w:r>
        <w:rPr>
          <w:b/>
        </w:rPr>
        <w:t>E. 4</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En outre, l'intéressé n'a pas établi la haute probabilité, d'un risque de traitements contraires aux engagements internationaux souscrits par la Suisse. D'une part, rien n'indique que les autorités colombiennes n'aient pas la capacité de lui accorder une protection adéquate en cas de nécessité. D'autre part, s'il peut légitimement éprouver des appréhensions à retourner à E._______, où il pourrait à nouveau se trouver exposé aux sévices ou à l'hostilité de certains habitants, il demeure que les problèmes rencontrés par le recourant sont survenus dans cette localité, où son homosexualité était notoire, ou à proximité ; ils avaient ainsi un caractère local, rien n'indiquant que sa situation personnelle ait été ou soit connue de quiconque hors de cette région (cf. arrêt du Tribunal E-2705/2023 précité consid. 6.4). Il lui serait ainsi possible de s'installer dans une autre région de Colombie ; cela lui serait plus particulièrement possible à Bogota où, quoi qu'il en dise, il est très improbable que ses agresseurs puissent le retrouver ou tentent de le faire, à supposer même qu'ils soient au courant de son retour. Le Tribunal admet dès lors que l'exécution du renvoi du recourant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Il est notoire que la Colombie ne connaît pas une situation de guerre, d'instabilité, de guerre civile ou de violence généralisée qui permettrait d'emblée - et indépendamment des circonstances du cas d'espèce - de présumer, à propos de tous les ressortissants du pays, l'existence d'une mise en danger concrète au sens de l'art. 83 al. 4 LEI. Par ailleurs, la situation personnelle du recourant permet d'admettre qu'il est en mesure de se réinstaller notamment à Bogota, située à quelques (...) km de E._______ (cf. ATAF 2011/51 consid. 8.5) : en effet, il y a vécu jusqu'à l'âge de treize ans, dispose d'une bonne formation ([...], maîtrise de l'anglais) et d'une expérience professionnelle dans divers domaines d'activités (enseignement, travail bilingue en ligne ; cf. p-v de l'audition du 27 février 2024, questions 20 et 26) ; de plus, il est encore jeune et sans charge de famille.</w:t>
      </w:r>
    </w:p>
    <w:p>
      <w:r>
        <w:rPr>
          <w:b/>
        </w:rPr>
        <w:t>E. 5.3.3</w:t>
      </w:r>
    </w:p>
    <w:p>
      <w:r>
        <w:t>Dans ces conditions,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possession d'un passeport colombien valide. L'exécution du renvoi ne se heurte ainsi pas à des obstacles insurmontables d'ordre technique et s'avère également possible (cf. ATAF 2008/34 consid. 12).</w:t>
      </w:r>
    </w:p>
    <w:p>
      <w:r>
        <w:rPr>
          <w:b/>
        </w:rPr>
        <w:t>E. 6</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 totale » doit être rejetée (art. 65 al. 1 PA). Dès lors,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