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E-1607/2023 vom 12. April 2023</w:t>
      </w:r>
    </w:p>
    <w:p>
      <w:r>
        <w:t>Bundesverwaltungsgericht, 2023-04-12, FR</w:t>
      </w:r>
    </w:p>
    <w:p>
      <w:r>
        <w:rPr>
          <w:b/>
        </w:rPr>
        <w:t xml:space="preserve">Quelle: </w:t>
      </w:r>
      <w:r>
        <w:t>https://mcp.opencaselaw.ch/entscheid/bvger_E-1607_2023</w:t>
      </w:r>
    </w:p>
    <w:p>
      <w:r>
        <w:t>FR: TAF E-1607/2023 du 12 avril 2023</w:t>
      </w:r>
    </w:p>
    <w:p>
      <w:r>
        <w:t>IT: TAF E-1607/2023 del 12 aprile 2023</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ainsi que 52 al. 1 PA et 108 al. 1 LAsi en lien avec l'art. 10 de l'ordonnance COVID-19 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sa participation à la manifestation du (...) juin 2017 à l'université polytechnique est très antérieure à son départ et sans relation directe avec ce dernier. Simple manifestant, le recourant n'assumait alors aucun rôle politique important, ainsi qu'il l'a admis (cf. procès-verbal [p-v] de l'audition du 1er mars 2023, questions 32 à 34) ; il a d'ailleurs été libéré le même jour. En raison de son peu d'intensité, cet épisode ne dénote dès lors pas l'existence d'une persécution. En conséquence, les éléments de preuve s'y rapportant (extrait de presse, photographies et messages « F._______ ») sont sans incidence pour l'issue de la cause. Durant les deux années et demie qui ont suivi, l'intéressé aurait résidé dans un logement appartenant à son père, sans se faire remarquer et restant totalement passif ; il n'aurait subi que des brimades des voisins et d'occasionnelles visites de la garde nationale, qui ne l'auraient d'ailleurs pas incité à changer de domicile. Il est dès lors invraisemblable que la police ait soudainement décidé après cette longue période de l'interpeller, en envoyant six agents pour ce faire, et l'ait maltraité, alors qu'il ne pouvait représenter aucun danger particulier, ni aucune source d'information ; l'intéressé a lui-même indiqué ne pas en comprendre la raison (cf. p-v de l'audition du 1er mars 2023, question 42). Dans tous les cas, il n'est pas crédible que l'intéressé ait été relâché dès le lendemain, non pas même contre paiement, mais moyennant une simple promesse de versement, qui plus est de la part d'un tiers. En outre, selon ses dires, le recourant aurait quitté le Venezuela en quelques jours et sans difficultés pour rejoindre son père au Pérou, la police ne semblant pas le rechercher ; il est ainsi douteux qu'il se soit trouvé en danger lors de son départ. Il n'a d'ailleurs requis aucune protection, ni déposé de demande d'asile, durant son séjour de trois mois au Pérou, puis pendant les deux années et demie passées au Paraguay.</w:t>
      </w:r>
    </w:p>
    <w:p>
      <w:r>
        <w:rPr>
          <w:b/>
        </w:rPr>
        <w:t>E. 3.3</w:t>
      </w:r>
    </w:p>
    <w:p>
      <w:r>
        <w:t>S'agissant des événements survenus dans ce pays, tels qu'allégués par l'intéressé, rien ne permet de les relier aux raisons qui l'auraient incité à quitter le Venezuela : en effet, non seulement celles-ci ne sont pas crédibles, comme relevé, mais il n'est de plus pas vraisemblable que la police vénézuélienne ait consacré ses efforts et ses ressources à retrouver le recourant à l'étranger, ceci uniquement dans le but de l'intimider, sans prendre d'autres mesures contre lui ; de plus, même à supposer que ces épisodes soient avérés, les agresseurs ne lui auraient jamais adressé de menaces ou d'avertissements explicites, si bien que leurs intentions restent indéterminées. Dans ce contexte, les photographies prises au Paraguay, les messages « G._______ » et la plainte déposée à Asuncion qui ne permet pas encore d'attester la réalité des raisons y étant à l'origine ne sont pas de nature à étayer les motifs d'asile invoqués.</w:t>
      </w:r>
    </w:p>
    <w:p>
      <w:r>
        <w:rPr>
          <w:b/>
        </w:rPr>
        <w:t>E. 3.4</w:t>
      </w:r>
    </w:p>
    <w:p>
      <w:r>
        <w:t>Enfin, le recourant n'a pas mentionné qu'il s'était rendu en Argentine pour s'y faire délivrer un passeport manifestement demandé à la représentation diplomatique vénézuélienne, bien qu'il ne l'indique pas expressément. Cette démarche apparaît cependant peu compatible avec le souci d'échapper à un risque de persécution, l'intéressé se signalant ainsi à l'attention des autorités de son pays d'origine. De plus, le passeport ne mentionne pas l'autorité émettrice et ne comporte aucun timbre de sortie argentin, ce qui jette le doute sur le lieu et les véritables circonstances de son obtention.</w:t>
      </w:r>
    </w:p>
    <w:p>
      <w:r>
        <w:rPr>
          <w:b/>
        </w:rPr>
        <w:t>E. 3.5</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que le recourant n'a pas établi la haute probabilité d'atteintes de cette nature, quelles que soient les atteintes aux droits de l'homme que peuvent en effet commettre les autorités vénézuéliennes.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Le Venezuela se trouve depuis des années dans une situation politique et économique très difficile. Le résultat controversé des élections présidentielles de mai 2018 a entraîné une forte agitation, les manifestations et les grèves décidées par l'opposition étant violemment réprimées par la police ou les milices favorables au gouvernement ; cette situation a perduré après les élections parlementaires de décembre 2020, gagnées par le gouvernement, mais taxées de frauduleuses par l'opposition. Parallèlement, la situation économique se trouve gravement perturbée par l'hyperinflation et la pauvreté s'est aggravée. La situation du ravitaillement et du système de santé, déjà difficile, s'est péjorée avec l'épidémie de Covid-19. Toutefois, le pays ne se trouve pas pour autant dans une situation de guerre civile ou de violence généralisée excluant, de manière générale, l'exécution du renvoi (cf. arrêt du Tribunal D-473 et 476/2019 du 29 janvier 2021 consid. 7.3 et réf. cit.).</w:t>
      </w:r>
    </w:p>
    <w:p>
      <w:r>
        <w:rPr>
          <w:b/>
        </w:rPr>
        <w:t>E. 7.3</w:t>
      </w:r>
    </w:p>
    <w:p>
      <w:r>
        <w:t>En outre, il ne ressort du dossier aucun élément dont on pourrait inférer que l'exécution du renvoi impliquerait une mise en danger concrète du recourant. En effet, il est jeune, au bénéfice d'une formation académique ainsi que d'une expérience professionnelle acquise au Paraguay et ne souffre plus de problèmes de santé particuliers. De plus, ses parents résident au Venezuela et sont susceptibles de lui apporter leur aide, comme ils l'ont déjà fait dans le passé.</w:t>
      </w:r>
    </w:p>
    <w:p>
      <w:r>
        <w:rPr>
          <w:b/>
        </w:rPr>
        <w:t>E. 7.4</w:t>
      </w:r>
    </w:p>
    <w:p>
      <w:r>
        <w:t>Pour ces motifs, l'exécution du renvoi doit être considérée comme raisonnablement exigible.</w:t>
      </w:r>
    </w:p>
    <w:p>
      <w:r>
        <w:rPr>
          <w:b/>
        </w:rPr>
        <w:t>E. 8</w:t>
      </w:r>
    </w:p>
    <w:p>
      <w:r>
        <w:t>Enfin, le recourant est possesseur d'un passeport vénézuélien. L'exécution du renvoi ne se heurte ainsi pas à des obstacles insurmontables d'ordre technique et s'avère également possible (cf. ATAF 2008/34 consid. 12).</w:t>
      </w:r>
    </w:p>
    <w:p>
      <w:r>
        <w:rPr>
          <w:b/>
        </w:rPr>
        <w:t>E. 9</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totale doit être rejetée (art. 65 al. 1 PA).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