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E-1604/2018 vom 17. November 2020</w:t>
      </w:r>
    </w:p>
    <w:p>
      <w:r>
        <w:t>Bundesverwaltungsgericht, 2020-11-17, DE</w:t>
      </w:r>
    </w:p>
    <w:p>
      <w:r>
        <w:rPr>
          <w:b/>
        </w:rPr>
        <w:t xml:space="preserve">Quelle: </w:t>
      </w:r>
      <w:r>
        <w:t>https://mcp.opencaselaw.ch/entscheid/bvger_E-1604_2018</w:t>
      </w:r>
    </w:p>
    <w:p>
      <w:r>
        <w:t>FR: TAF E-1604/2018 du 17 novembre 2020</w:t>
      </w:r>
    </w:p>
    <w:p>
      <w:r>
        <w:t>IT: TAF E-1604/2018 del 17 novembre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Beschwerde richtet sich ausschliesslich gegen den von der Vorinstanz angeordneten Vollzug der Wegweisung. Die Dispositivziffern 1 - 3 der angefochtenen Verfügung sind mangels Anfechtung in Rechtskraft erwachsen und bilden nicht Gegenstand des Verfahrens.</w:t>
      </w:r>
    </w:p>
    <w:p>
      <w:r>
        <w:rPr>
          <w:b/>
        </w:rPr>
        <w:t>E. 3</w:t>
      </w:r>
    </w:p>
    <w:p>
      <w:r>
        <w:t>Die Kognition des Bundesverwaltungsgerichts und die zulässigen Rügen richtet sich im Bereich des Ausländerrechts nach Art. 49 VwVG (vgl. Art. 112 AuG [SR 142.20]; BVGE 2014/26 E. 5).</w:t>
      </w:r>
    </w:p>
    <w:p>
      <w:r>
        <w:rPr>
          <w:b/>
        </w:rPr>
        <w:t>E. 4.1</w:t>
      </w:r>
    </w:p>
    <w:p>
      <w:r>
        <w:t>Die Vorinstanz führte zur Begründung der angefochtenen Verfügung im Wesentlichen aus, der Beschwerdeführer sei nicht in der Lage gewesen, die behauptete Minderjährigkeit glaubhaft darzulegen. Die am 1. Mai 2015 durchgeführte Knochenaltersbestimmung habe ein Skelettalter von (...) Jahren oder mehr ergeben. Zudem habe er ungereimte Angaben zu seinem Alter gemacht. An der BzP habe er anfänglich angegeben, bei der Ausreise am (...) 2014 (...) Jahre alt gewesen zu sein. Auf Nachfrage hin habe er behauptet, nun (...) zu sein. Auf Vorhalt hin habe er erklärt, bei der Ausreise (...) oder (...) Jahre alt gewesen zu sein. Zuvor habe er angegeben, die Schule im Alter von (...) Jahren verlassen zu haben. An der Anhörung wiederum habe er ausgesagt, (...) gewesen zu sein, als er mit der Schule aufgehört habe. Dem eingereichten Taufschein komme schon deshalb keine ausreichende Beweiskraft zu, weil er kein Foto enthalte. Überdies falle auf, dass der Stempelabdruck auf die orthodoxe Kirche als Ausstellerin hinweise. Er selber habe aber angegeben, der römisch-katholischen Kirche anzugehören. Des Weiteren habe er trotz mehrmaliger Aufforderung keine weiteren Identitätsdokumente eingereicht. Er habe sich an der BzP mit der Änderung seines Geburtsdatums auf den (...) einverstanden erklärt. Der Beschwerdeführer habe aufgrund seiner unstimmigen Aussagen weder die geltend gemachten Ausreisegründe noch eine illegale Ausreise glaubhaft machen können. Er sei zufolge Ablehnung seines Asylgesuchs zur Ausreise aus der Schweiz verpflichtet. Der Wegweisungsvollzug sei vorliegend zulässig, zumutbar und möglich.</w:t>
      </w:r>
    </w:p>
    <w:p>
      <w:r>
        <w:rPr>
          <w:b/>
        </w:rPr>
        <w:t>E. 4.2</w:t>
      </w:r>
    </w:p>
    <w:p>
      <w:r>
        <w:t>In der Beschwerde wurde entgegnet, der Beschwerdeführer habe stets den (...) als sein Geburtsdatum angegeben. Er könne nicht rechnen und seine unbeholfenen Aussagen zu seinem Alter im Zeitpunkt der Ausreise würden eindeutig für seine damalige Minderjährigkeit sprechen. Der Hilfswerkvertreter habe gleich zu Beginn der Anhörung vergeblich beantragt, ihn als minderjährig einzustufen. Es falle auf, dass die Anhörung äusserst kurz ausgefallen und sogar die Pausen gekürzt worden seien. Der Hilfswerkvertreter habe selber sechsundzwanzig Fragen zwecks Feststellung des Sachverhalts stellen müssen. Er sei zum Schluss gekommen, dass eine ergänzende Anhörung die richtige Vorgehensweise wäre. Auch dieser Antrag sei abgelehnt worden. Es stelle sich die Frage, ob die Vorinstanz ihrer Untersuchungspflicht genügend nachgekommen sei. Der Beweiswert des Altersgutachtens sei gering. Der Beschwerdeführer sei zum Zeitpunkt der Analyse beinahe (...) Jahre alt gewesen. Die Abweichung zwischen dem angegebenen Alter und dem Ergebnis der Handknochenanalyse liege somit in der normalen sowie möglichen Bandbreite und hätte nicht zu einer Altersanpassung zu seinem Nachteil führen dürfen. Er habe bereits auf dem Personalienblatt eingetragen, dass er der orthodoxen Kirche angehöre. In der bei der Anhörung eingereichten Taufurkunde stehe der (...) als sein Geburtsdatum. Dieses Dokument müsse immerhin als Indiz für seine Minderjährigkeit berücksichtigt werden, auch wenn die Taufurkunde kein rechtsgenügliches Identitätsdokument sei. Der Beschwerdeführer hätte zu Beginn des Verfahrens als unbegleitete minderjährige Person behandelt und ihm hätte eine Vertrauensperson beigeordnet werden müssen. Durch diese Unterlassung sei der Sachverhalt nur unvollständig festgestellt und sein rechtliches Gehör verletzt worden. Somit liege ein Kassationsgrund vor. Der Eventualantrag auf Anordnung der vorläufigen Aufnahme wegen Unzulässigkeit oder eventuell Unzumutbarkeit des Wegweisungsvollzugs wurde damit begründet, dass der Beschwerdeführer als eritreischer Staatsbürger in Eritrea sozialisiert worden sei. Er befinde sich im dienstpflichtigen Alter und habe vor seiner Ausreise noch keinen Militärdienst geleistet. Angesichts des Alters bei der Ausreise sei höchst unwahrscheinlich, dass er aus dem Militärdienst entlassen respektive davon befreit worden sei. Er müsse somit bei einer Rückkehr nach Eritrea mit einer Haftstrafe und der Einziehung in den Nationaldienst rechnen. Dies stelle eine Verletzung von Art. 4 Abs. 2 und Art. 3 EMRK dar. Sollte das Gericht völkerrechtliche Vollzugshindernisse trotz drohender Haft und Einziehung in den Nationaldienst verneinen, wäre der Beschwerdeführer aus humanitären Gründen wegen Unzumutbarkeit des Wegweisungsvollzugs vorläufig aufzunehmen. Erschwerend komme hinzu, dass sein Status nicht geregelt und keine Diasporasteuer entrichtet worden sei. Auch die Unterzeichnung des Reuebriefes würde ihn nicht vor einer unmenschlichen Strafe schützen, zumal es sich um ein Schuldeingeständnis handle.</w:t>
      </w:r>
    </w:p>
    <w:p>
      <w:r>
        <w:rPr>
          <w:b/>
        </w:rPr>
        <w:t>E. 4.3</w:t>
      </w:r>
    </w:p>
    <w:p>
      <w:r>
        <w:t>In der Vernehmlassung wurde ausgeführt, eine sekretariatsinterne Prüfung der eingereichten Taufurkunde habe ergeben, dass es sich um eine Totalfälschung handeln dürfte. Das Dokument weise gravierende drucktechnische und farbliche Mängel respektive Abweichungen auf. Des Weiteren sei aufgrund des Profils des Beschwerdeführers nicht davon auszugehen, dass er nach seiner Rückkehr nach Eritrea einer tatsächlichen und unmittelbaren Gefahr einer Einberufung in den zivilen Teil des Nationaldienstes und damit einer Verletzung von Art. 4 Abs. 2 EMRK ausgesetzt werden könnte. Zudem sei gemäss gerichtlicher Einschätzung wohl nicht von einer systematischen Inhaftierung aller rückkehrenden Personen auszugehen und auch darauf hinzuweisen, dass ein Teil von ihnen ihr Verhältnis zum eritreischen Staat durch Bezahlung der Steuer von zwei Prozent und der Unterzeichnung eines Reuebriefes geregelt hätten.</w:t>
      </w:r>
    </w:p>
    <w:p>
      <w:r>
        <w:rPr>
          <w:b/>
        </w:rPr>
        <w:t>E. 4.4</w:t>
      </w:r>
    </w:p>
    <w:p>
      <w:r>
        <w:t>In der Replik wurde ausgeführt, die Taufurkunde sei zwar kein rechtsgenügliches Ausweisdokument. Dem Vorwurf der Totalfälschung sei indessen entgegenzuhalten, dass das Dokument im Original eingereicht worden sei und der Stempel sowie die Angaben nicht von anderen Taufurkunden im Original abweichen würden. Es sei nicht ersichtlich, welche farblichen respektive drucktechnischen Mängel die Vorinstanz moniere. Zwecks Verifizierung der Angaben könnte der Pfarrer der Kirche von (...) in B._______ kontaktiert werden. Dieser könnte mit Hilfe der aufgedruckten Seriennummer (...) in seinem Kirchenbuch nachschlagen, wo der Beschwerdeführer aufgelistet sei. Die am Tag der Taufe seiner Mutter übergebene Taufurkunde sei mit Hilfe der in B._______ wohnhaften Tante mütterlicherseits in die Schweiz gelangt. Der eritreische Nationaldienst falle, dies entgegen den Ausführungen in der Vernehmlassung, nicht unter eine der Ausnahmen von Art. 4 Abs. 3 EMRK, sondern sei als Zwangsarbeit im Sinne von Art. 4 Abs. 2 EMRK zu qualifizieren. Der Beschwerdeführer habe seinen Dienst noch nicht geleistet, weil er vor seiner Ausreise minderjährig gewesen sei. Er müsste bei einer Rückkehr nach Eritrea in jedem Fall Dienst leisten.</w:t>
      </w:r>
    </w:p>
    <w:p>
      <w:r>
        <w:rPr>
          <w:b/>
        </w:rPr>
        <w:t>E. 5.1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w:t>
      </w:r>
    </w:p>
    <w:p>
      <w:r>
        <w:t>Die formelle Rüge, die Vorinstanz habe dadurch, dass sie den Beschwerdeführer zu Beginn des Verfahrens nicht als unbegleitete minderjährige Person behandelt und ihm keine Vertrauensperson beigeordnet habe, den Sachverhalt unvollständig festgestellt und sein rechtliches Gehör verletzt, ist unbegründet. Das Ergebnis einer radiologischen Knochenaltersanalyse weist nach der Praxis des Bundesverwaltungsgerichts nur einen beschränkten Beweiswert auf, wenn das von der betroffenen Person behauptete Alter im Vergleich zum festgestellten Knochenalter innerhalb der normalen Abweichung von bis zu drei Jahren liegt. In einem solchen Fall können aus der Handknochenanalyse zwar keine verlässlichen Schlüsse auf das tatsächliche Alter der untersuchten Person gezogen werden; sie bildet jedoch ein im Rahmen der Beweiswürdigung zu berücksichtigendes Indiz für deren Minder- beziehungsweise Volljährigkeit. Vorliegend wurde dem Beschwerdeführer bei der BzP das rechtliche Gehör zur durchgeführten Handknochenanalyse gewährt. Angesichts der Tatsache, dass er keine rechtsgenüglichen Identitätspapiere vorgelegt hat - gemäss Art. 1a Bst. c der Asylverordnung 1 vom 11. August 1999 (AsylV 1, SR 142.311) kann ein Identitätspapier nur ein amtliches Dokument mit Fotografie sein, welches zum Zweck des Nachweises der Identität seiner Inhaberin oder seines Inhabers ausgestellt wurde - das Altersgutachten ihm ein Alter von (...) Jahren oder mehr bescheinigt, und auch aufgrund seiner unstimmigen Aussagen zu seinem Alter ist die Vorinstanz zu Recht von der Volljährigkeit des Beschwerdeführers ausgegangen. Die zu den Akten gereichten Dokumente (Taufurkunde, Kopien der Identitätskarten seiner Eltern, Kopie der Identitätskarte des Onkels) sind mangels Beweiswerts nicht geeignet, zu einer anderen Beurteilung zu gelangen. Dabei kann offengelassen werden, ob es sich bei der Taufurkunde tatsächlich um eine Totalfälschung handelt. Das Argument, die unstimmigen Angaben des Beschwerdeführers seien darauf zurückzuführen, dass er offensichtlich nicht richtig rechnen könne, findet in den Akten keine Stütze. Hinzu kommt, dass er mindestens sechs Jahre lang die Schule besucht habe. Der Beweisantrag, der Pfarrer der Kirche von (...) in B._______ könnte zwecks Verifizierung der Angaben kontaktiert werden, ist abzuweisen, zumal es für den Beschwerdeführer im Rahmen seiner Mitwirkungspflicht ohne weiteres möglich und auch zumutbar gewesen wäre, den Pfarrer von sich aus zu kontaktieren. Mangels stichhaltiger Entgegnungen auf Beschwerdeebene kann vollumfänglich auf die diesbezüglich zutreffenden Erwägungen in der angefochtenen Verfügung und in der Vernehmlassung verwiesen werden. Der Beschwerdeführer kann sich somit aufgrund seiner zu Recht festgestellten Volljährigkeit nicht auf die schweizerische Gesetzgebung für unbegleitete Minderjährige berufen. Es besteht folglich keine Veranlassung, die Sache aus formellen Gründen aufzuheben und an die Vorinstanz zurückzuweisen. Das Rechtsbegehren ist abzuweisen.</w:t>
      </w:r>
    </w:p>
    <w:p>
      <w:r>
        <w:rPr>
          <w:b/>
        </w:rPr>
        <w:t>E. 7.1</w:t>
      </w:r>
    </w:p>
    <w:p>
      <w:r>
        <w:t>In materieller Hinsicht führt der Beschwerdeführer in seinem Rechtsmittel im Wesentlichen aus, der Wegweisungsvollzug sei angesichts der ihm in Eritrea drohenden Einziehung in den Nationaldienst unzulässig oder zumindest unzumutbar. Er macht insbesondere geltend, der vom SEM angeordnete Vollzug verletze seine durch Art. 3 und 4 EMRK geschützten Menschenrechte.</w:t>
      </w:r>
    </w:p>
    <w:p>
      <w:r>
        <w:rPr>
          <w:b/>
        </w:rPr>
        <w:t>E. 7.2</w:t>
      </w:r>
    </w:p>
    <w:p>
      <w:r>
        <w:t>Das SEM geht in der angefochtenen Verfügung von der Zulässigkeit, Zumutbarkeit sowie Möglichkeit des Wegweisungsvollzugs aus.</w:t>
      </w:r>
    </w:p>
    <w:p>
      <w:r>
        <w:rPr>
          <w:b/>
        </w:rPr>
        <w:t>E. 7.3</w:t>
      </w:r>
    </w:p>
    <w:p>
      <w:r>
        <w:t>Aufgrund des Alters des Beschwerdeführers im heutigen Zeitpunkt erscheint seine Befürchtung, bei einer Rückkehr in den Nationaldienst eingezogen zu werden, plausibel (vgl. zur eritreischen Musterungspraxis auch das Referenzurteil D-2311/2016 vom 17. August 2017 E. 13.2 - 13.4).</w:t>
      </w:r>
    </w:p>
    <w:p>
      <w:r>
        <w:rPr>
          <w:b/>
        </w:rPr>
        <w:t>E. 8.1</w:t>
      </w:r>
    </w:p>
    <w:p>
      <w:r>
        <w:t>Das Bundesverwaltungsgericht hat sich im Koordinationsurteil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8.2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8.3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8.5</w:t>
      </w:r>
    </w:p>
    <w:p>
      <w:r>
        <w:t>Aufgrund der vorstehenden Ausführungen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8.6</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Aus den Akten ergeben sich keine Anhaltspunkte für die Annahme, der Beschwerdeführer müsste bei einer Rückkehr in den Heimatstaat dort mit beachtlicher Wahrscheinlichkeit eine nach Art. 3 EMRK oder Art. 1 FoK verbotene Strafe oder Behandlung befürchten. In diesem Zusammenhang ist festzuhalten, dass der Beschwerdeführer seine Ausreisegründe nicht glaubhaft gemacht hat, weshalb auch nicht davon auszugehen ist, er käme im Zusammenhang mit dem angeblichen Verschwinden seines Vaters in den Fokus der eritreischen Behörden. Die anerkanntermassen problematische allgemeine Menschenrechtssituation in Eritrea lässt den Wegweisungsvollzug zum heutigen Zeitpunkt praxisgemäss nicht als unzulässig erscheinen. Der Vollzug der Wegweisung des Beschwerdeführers erweist sich damit - sowohl im Sinn der asyl- als auch der völkerrechtlichen Bestimmungen - als zulässig.</w:t>
      </w:r>
    </w:p>
    <w:p>
      <w:r>
        <w:rPr>
          <w:b/>
        </w:rPr>
        <w:t>E. 8.7.1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8.7.2</w:t>
      </w:r>
    </w:p>
    <w:p>
      <w:r>
        <w:t>Gemäss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8.7.3</w:t>
      </w:r>
    </w:p>
    <w:p>
      <w:r>
        <w:t>Das Bundesverwaltungsgericht hat sich im bereits zitierten Koordinationsurteil E-5022/2017 vom 10. Juli 2018 auch mit der Frage befasst, ob der Vollzug der Wegweisung im Falle einer drohenden Einziehung in den eritreischen Nationaldienst als zumutbar zu qualifizieren ist. Es stellte fest, dass der drohende Einzug in den eritreischen Nationaldienst mangels einer hinreichend konkreten Gefährdung nicht generell zur Feststellung der Unzumutbarkeit des Wegweisungsvollzugs gemäss Art. 83 Abs. 4 AIG führt (vgl. a.a.O. E. 6.2).</w:t>
      </w:r>
    </w:p>
    <w:p>
      <w:r>
        <w:rPr>
          <w:b/>
        </w:rPr>
        <w:t>E. 8.7.4</w:t>
      </w:r>
    </w:p>
    <w:p>
      <w:r>
        <w:t>In individueller Hinsicht führte die Vorinstanz zur Zumutbarkeit des Wegweisungsvollzugs aus, es sei nicht davon auszugehen, dass der Beschwerdeführer bei einer Rückkehr in eine existenzbedrohende Situation geraten würde. Er sei jung, gesund und verfüge in Eritrea über ein verwandtschaftliches Beziehungsnetz, womit eine gesicherte Wohnsituation und eine Existenzgrundlage vorhanden seien. Seine Tante lebe in B._______ und habe dort (...). Überdies habe er bei der Anhörung ausgesagt, mit Ausnahme einer in G._______ lebenden weiteren Tante lebten alle Onkel und Tanten in H._______. Seine Beziehung zu H._______ sei vermutlich intensiver, als er erklärt habe, zumal auf dem Personalienbogen H._______ als sein Geburtsort eingetragen worden sei. Des Weiteren habe er erklärt, seine in G._______ lebende Tante habe einen Teil seiner Reise finanziert. Es sei deshalb davon auszugehen, dass sie ihn im Bedarfsfall bei seiner Reintegration in Eritrea unterstützen werde. Diese Erwägungen erweisen sich als zutreffend, weshalb vollumfänglich darauf verwiesen werden kann.</w:t>
      </w:r>
    </w:p>
    <w:p>
      <w:r>
        <w:rPr>
          <w:b/>
        </w:rPr>
        <w:t>E. 8.7.5</w:t>
      </w:r>
    </w:p>
    <w:p>
      <w:r>
        <w:t>Die in der Eingabe vom 27. Juni 2019 geltend gemachten und mit mehreren Dokumenten belegten Integrationsbemühungen des Beschwerdeführers in der Schweiz sind zu begrüssen. Es ist aber darauf hinzuweisen, dass eine weit fortgeschrittene Integration nach Gesetz und Praxis höchstens indirekt bei der Beurteilung der Zumutbarkeit des Vollzugs eine Rolle spielen kann, nämlich wenn die betreffende Person in der Schweiz derart verwurzelt ist, dass bei Durchführung des Vollzugs (reziprok) eine Entwurzelung im Heimatstaat zu erwarten ist (vgl. zu dieser vorab für Kinder und Jugendliche entwickelten Praxis insbes. BVGE 2009/28 E. 9.3 ff. und 2009/51 E. 5.6 m.w.H.). Für das Vorliegen einer derartigen Situation des Beschwerdeführers ergeben sich aus den Akten jedoch keine Hinweise.</w:t>
      </w:r>
    </w:p>
    <w:p>
      <w:r>
        <w:rPr>
          <w:b/>
        </w:rPr>
        <w:t>E. 8.7.6</w:t>
      </w:r>
    </w:p>
    <w:p>
      <w:r>
        <w:t>Nach dem Gesagten erweist sich der Vollzug der Wegweisung auch als zumutbar.</w:t>
      </w:r>
    </w:p>
    <w:p>
      <w:r>
        <w:rPr>
          <w:b/>
        </w:rPr>
        <w:t>E. 8.8</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8.9</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10.1</w:t>
      </w:r>
    </w:p>
    <w:p>
      <w:r>
        <w:t>Bei diesem Ausgang des Verfahrens wären die Kosten dem Beschwerdeführer aufzuerlegen (Art. 63 Abs. 1 VwVG). Da ihm mit Zwischenverfügung vom 22. März 2018 die unentgeltliche Prozessführung gewährt wurde und sich aus dem mit Eingabe vom 27. Juni 2019 eingereichten Einzelarbeitsvertrag für (...) im Stundenlohn keine massgebende Veränderung der finanziellen Verhältnisse ergibt, sind keine Verfahrenskosten zu erheben.</w:t>
      </w:r>
    </w:p>
    <w:p>
      <w:r>
        <w:rPr>
          <w:b/>
        </w:rPr>
        <w:t>E. 10.2</w:t>
      </w:r>
    </w:p>
    <w:p>
      <w:r>
        <w:t>Da dem Beschwerdeführer mit derselben Zwischenverfügung auch die amtliche Rechtsverbeiständung gewährt wurde, hat das Bundesverwaltungsgericht der Rechtsbeiständin ein amtliches Honorar auszurichten (vgl. aArt. 110a Abs. 1 AsylG i.V.m. Art. 9-14 des Reglements vom 21. Februar 2008 über die Kosten und Entschädigungen vor dem Bundesverwaltungsgericht [VGKE, SR 173.320.2]). Der in der aktualisierten Kostennote vom 16. Juli 2018 ausgewiesene Zeitaufwand von 10.5 Stunden ist dem vorliegenden Verfahren unter Berücksichtigung der Eingabe vom 27. Ju-ni 2019 angemessen. Der geltend gemachte Stundenansatz von Fr. 180.- ist jedoch entsprechend dem Stundenansatz für nichtanwaltliche Vertreterinnen und Vertreter (vgl. Zwischenverfügung vom 22. März 2018) auf Fr. 150.- zu reduzieren. Das amtliche Honorar für die Aufwendungen der amtlich bestellten Rechtsbeiständin beläuft sich somit auf Fr. 1'696.- (inkl. Mehrwertsteuerzuschlag). Die geltend gemachte Pauschale für allgemeine Spesen wird nicht berücksichtigt, da grundsätzlich nur effektiv ausgewiesene Kosten entschädigt werden und besondere Verhältnisse im Sinne des Reglements nicht ersichtlich sind (Art. 11 Abs. 1 und 3 VGKE). Der amtlichen Rechtsbeiständin ist somit unter Berücksichtigung der massgebenden Bemessungsfaktoren (Art. 9 - 13 VGKE) zulasten der Gerichtskasse ein amtliches Honorar von insgesamt Fr. 1'696.-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