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E-1603/2016 vom 30. März 2016</w:t>
      </w:r>
    </w:p>
    <w:p>
      <w:r>
        <w:t>Bundesverwaltungsgericht, 2016-03-30, DE</w:t>
      </w:r>
    </w:p>
    <w:p>
      <w:r>
        <w:rPr>
          <w:b/>
        </w:rPr>
        <w:t xml:space="preserve">Quelle: </w:t>
      </w:r>
      <w:r>
        <w:t>https://mcp.opencaselaw.ch/entscheid/bvger_E-1603_2016</w:t>
      </w:r>
    </w:p>
    <w:p>
      <w:r>
        <w:t>FR: TAF E-1603/2016 du 30 mars 2016</w:t>
      </w:r>
    </w:p>
    <w:p>
      <w:r>
        <w:t>IT: TAF E-1603/2016 del 30 marzo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die Vorbringen des Beschwerdeführers würden den Anforderungen an die Glaubhaftigkeit gemäss Art. 7 AsylG nicht standhalten. So seien seine Aussagen sowohl zur ONEG als auch zu seinen entsprechenden Aktivitäten äusserst dürftig und unsubstantiiert ausgefallen. Namentlich habe er nichts über seine Kontaktperson bei der Partei, die anderen Parteimitglieder und die erste Versammlung berichten können (A17/16 S. 8 f.). Gleich verhalte es sich mit seinen Ausführungen zur angeblichen Suche nach ihm; insbesondere habe er das Herausgabedatum der Zeitung, in welcher sein Name angeblich abgedruckt worden sei, nicht nennen können (A17/16 S. 9). Auch wirke seine Behauptung, er habe sich zwar an verschiedenen Orten in Äthiopien versteckt, könne diese jedoch nicht angeben (A17/16 S. 10), als Spontanerklärung und Konstrukt einer Verfolgungsgeschichte. Ferner seien seinen Schilderungen in Bezug auf den Verlust der Identitätspapiere, den Besitz weiterer Ausweise, die Wohnsituation vor seiner Ausreise, seine berufliche Tätigkeiten, die Häufigkeit und Zeitdauer des Verteilens der Flugblätter sowie die Inhaftierung von Freunden zahlreiche Widersprüche zu entnehmen (A8/9 S. 5 f., 8 f.; A17/16 S. 2 ff., 7 f., 11 ff.). Im Übrigen spreche auch sein Antwortverhalten - langes Zögern nach einer Frage - eher für ein konstruiertes Vorbringen. Schliesslich sei das gesamte Verhalten während des Asylverfahrens (falsche Identitätsangabe, widersprüchliche Aussagen in wesentlichen Punkten des Asylvorbringens, wiederholte Straffälligkeit in der Schweiz) der Glaubwürdigkeit des Beschwerdeführers massiv abträglich. Der Beschwerdeführer wendet dagegen im Wesentlichen ein, er werde in seinem Heimatland aufgrund seiner politischen Tätigkeit gesucht beziehungsweise sei als Gegner des Regimes verfolgt. Er werde vom heimatlichen Regime als Terrorist betrachtet. Im Falle einer Rückkehr drohe ihm deswegen Folter.</w:t>
      </w:r>
    </w:p>
    <w:p>
      <w:r>
        <w:rPr>
          <w:b/>
        </w:rPr>
        <w:t>E. 4.2</w:t>
      </w:r>
    </w:p>
    <w:p>
      <w:r>
        <w:t>Die Schlussfolgerungen der Vorinstanz sind weder in tatsächlicher noch in rechtlicher Hinsicht zu beanstanden. In der angefochtenen Verfügung wird hinlänglich begründet - und mit den entsprechenden Aktenstellen untermauert -, weshalb die Aussagen des Beschwerdeführers in wesentlichen Punkten unglaubhaft respektive widersprüchlich ausgefallen sind. Ferner gelangt die Vorinstanz zutreffend zur Erkenntnis, dass die persönliche Glaubwürdigkeit des Beschwerdeführers durch die vorgängige falsche Identitätsangabe nachhaltig erschüttert ist. Schliesslich vermag auch seine Erklärung, wie er legal aus seinem Heimatland habe ausreisen können beziehungsweise weshalb ihn die Kontrollen am Flughafen nicht festgehalten hätten, wenn er doch gesucht werde (A17/16 S. 11), nicht zu überzeugen. Auf Beschwerdeebene bringt der Beschwerdeführer nichts vor, was der Schlussfolgerung der Vorinstanz im Asylpunkt entgegenstehen würde. Namentlich zeigt er nicht auf, inwiefern die vorinstanzlichen Erwägungen Bundesrecht verletzen oder zu einer rechtsfehlerhaften Sachverhaltsfeststellung führen sollen.</w:t>
      </w:r>
    </w:p>
    <w:p>
      <w:r>
        <w:rPr>
          <w:b/>
        </w:rPr>
        <w:t>E. 4.3</w:t>
      </w:r>
    </w:p>
    <w:p>
      <w:r>
        <w:t>Zusammenfassend ist festzuhalten, dass es ihm nicht gelungen ist, die Flüchtlingseigenschaft nachzuweisen oder glaubhaft zu machen. Die Vorinstanz hat demnach das Asylgesuch zu Recht abgelehnt.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des Beschwerdeführers ergeben sich konkrete Anhaltspunkte dafür, dass er für den Fall einer Ausschaffung nach Äthiopien dort mit beachtlicher Wahrscheinlichkeit einer nach Art. 3 EMRK oder Art. 1 FoK verbotenen Strafe oder Behandlung ausgesetzt wäre. Der Vollzug ist demnach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Gemäss konstanter Rechtsprechung ist der Vollzug der Wegweisung nach Äthiopien zumutbar. Die allgemeine Lage in Äthiopien ist weder durch Krieg, Bürgerkrieg noch durch eine Situation allgemeiner Gewalt gekennzeichnet, aufgrund derer die Zivilbevölkerung allgemein als konkret gefährdet bezeichnet werden müsste (vgl. BVGE 2011/25). Auch sprechen keine individuellen Gründe gegen eine Rückkehr des Beschwerdeführers nach Äthiopien. Gemäss eigenen Angaben habe er einen grossen Teil seines bisherigen Lebens in Addis Abeba verbracht und verfüge dort über ein soziales Netz (A8/9 S. 8). Ferner gab er zu Protokoll, dass seine Familie über eine Behausung verfüge (A17/16 S. 5). Zudem handelt es sich beim Beschwerdeführer um einen gesunden Mann im arbeitsfähigen Alter, welcher eine Schulbildung aufweise und etwa drei Jahre lang als [Tätigkeit] tätig gewesen sei (A17/16 S. 4 ff.). In Übereinstimmung mit den vorinstanzlichen Erwägungen ist mithin von der Zumutbarkeit des Wegweisungsvollzugs auszugehen.</w:t>
      </w:r>
    </w:p>
    <w:p>
      <w:r>
        <w:rPr>
          <w:b/>
        </w:rPr>
        <w:t>E. 6.4</w:t>
      </w:r>
    </w:p>
    <w:p>
      <w:r>
        <w:t>Der Vollzug der Wegweisung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6.5</w:t>
      </w:r>
    </w:p>
    <w:p>
      <w:r>
        <w:t>Die Vorinstanz hat demnach zu Recht Wegweisungsvollzugshindernisse verneint. Die Anordnung einer vorläufigen Aufnahme fällt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