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E-1599/2021 vom 27. April 2021</w:t>
      </w:r>
    </w:p>
    <w:p>
      <w:r>
        <w:t>Bundesverwaltungsgericht, 2021-04-27, FR</w:t>
      </w:r>
    </w:p>
    <w:p>
      <w:r>
        <w:rPr>
          <w:b/>
        </w:rPr>
        <w:t xml:space="preserve">Quelle: </w:t>
      </w:r>
      <w:r>
        <w:t>https://mcp.opencaselaw.ch/entscheid/bvger_E-1599_2021</w:t>
      </w:r>
    </w:p>
    <w:p>
      <w:r>
        <w:t>FR: TAF E-1599/2021 du 27 avril 2021</w:t>
      </w:r>
    </w:p>
    <w:p>
      <w:r>
        <w:t>IT: TAF E-1599/2021 del 27 aprile 2021</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1.3</w:t>
      </w:r>
    </w:p>
    <w:p>
      <w:r>
        <w:t>Le recourant a qualité pour recourir ; présenté dans la forme et les délais prescrits par la loi, le recours est recevable (art. 48 al. 1 ainsi que 52 al. 1 PA et art. 108 al. 3 LAsi). En effet, le lundi de Pâques étant férié dans le canton de résidence de l'intéressé, le délai de recours n'est venu à échéance que le 9 avril 2021 (cf. arrêt E-2540/2019 du 15 août 2019 consid. 3 et 4).</w:t>
      </w:r>
    </w:p>
    <w:p>
      <w:r>
        <w:rPr>
          <w:b/>
        </w:rPr>
        <w:t>E. 2.1</w:t>
      </w:r>
    </w:p>
    <w:p>
      <w:r>
        <w:t>L'intéressé soutient que son droit d'être entendu a été violé. Il convient d'examiner ce grief en premier lieu, dans la mesure où son admission est susceptible d'entraîner d'emblée l'annulation de la décision entreprise et le renvoi de la cause à l'autorité inférieure (cf. ATF 138 I 232 consid. 5).</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De même,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w:t>
      </w:r>
    </w:p>
    <w:p>
      <w:r>
        <w:t>En l'espèce, le recourant soutient que l'audition s'est déroulée dans de mauvaises conditions, impropres à créer un climat de confiance. L'intéressé n'apporte cependant aucun élément nouveau par rapport à la prise de position du 30 mars 2021. Le SEM a répondu à ces arguments dans sa décision (cf. p. 5), relevant que le procès-verbal ne faisait pas apparaître un mauvais climat durant l'audition ; aucune remarque n'a d'ailleurs été formulée par la mandataire à ce sujet à l'issue de l'audition. Plus particulièrement, si l'évocation par l'auditrice d'un rejet de la demande et d'une interdiction d'entrée a pu perturber le recourant (cf. procès-verbal [p-v] de l'audition du 22 mars 2021, questions 116 à 126), elle n'est cependant survenue qu'en fin d'audition ; l'intéressé a eu tout loisir de s'exprimer sur ses motifs avant ce moment. Le fait que celui-là n'ait pu s'entretenir avec sa mandataire avant l'audition n'a pas non plus eu d'incidence, dans la mesure où il a pu librement faire valoir ses arguments, dans le cadre d'une question ouverte (cf. p-v de l'audition du 22 mars 2021, question 68). Il est d'ailleurs à noter que l'entretien réclamé paraît n'avoir pu se dérouler en raison d'une erreur de la mandataire (cf. p-v de l'audition du 22 mars 2021, questions préalables, p. 1). Le recours ne conteste dès lors pas les arguments du SEM, mais ne fait que répéter des allégations déjà avancées. Le Tribunal relève en outre que l'absence de la mandataire lors de la reprise de l'audition n'a pas eu de conséquences indésirables, les deux questions posées durant ce court laps de temps et les réponses de l'intéressé lui ayant été dûment résumées (cf. p-v de l'audition du 22 mars 2021, questions 47 à 49), sans que celles-ci aient ensuite suscité de remarques ou de questions complémentaires de sa part.</w:t>
      </w:r>
    </w:p>
    <w:p>
      <w:r>
        <w:rPr>
          <w:b/>
        </w:rPr>
        <w:t>E. 2.4</w:t>
      </w:r>
    </w:p>
    <w:p>
      <w:r>
        <w:t>Au vu de ce qui précède, les griefs tirés d'une violation du droit d'être entendu s'avèrent mal fondés et doivent dès lors être écartés.</w:t>
      </w:r>
    </w:p>
    <w:p>
      <w:r>
        <w:rPr>
          <w:b/>
        </w:rPr>
        <w:t>E. 3.1</w:t>
      </w:r>
    </w:p>
    <w:p>
      <w:r>
        <w:t>Le recourant a également fait valoir une violation de la maxime inquisitoire et reproche au SEM d'avoir ainsi établi de manière incomplète, voire inexacte, l'état de fait pertinent.</w:t>
      </w:r>
    </w:p>
    <w:p>
      <w:r>
        <w:rPr>
          <w:b/>
        </w:rPr>
        <w:t>E. 3.2</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3.3</w:t>
      </w:r>
    </w:p>
    <w:p>
      <w:r>
        <w:t>Le recourant reproche au SEM de n'avoir pas examiné la question d'une possible persécution réfléchie. Cela étant, il a été en mesure de faire valoir ses motifs sans obstacle, ainsi qu'il a été constaté précédemment. Il a également eu l'occasion de décrire sa participation à la manifestation de (...) 2019, sans toutefois donner de détails particuliers à ce sujet (cf. p-v de l'audition du 22 mars 2021, questions 68 et 104). La question de l'existence et de la crédibilité d'une persécution réfléchie relève pour le reste du fond et sera examinée par la suite (cf. consid. 5). C'est en outre de manière erronée que l'intéressé affirme, dans son acte de recours, que son commerce a été confisqué, ce qui constituerait le signe d'une telle persécution (cf. p. 4 et 7) : en effet, il a clairement indiqué que les autorités avaient fait pression sur ses clients pour qu'ils ne recourent plus à ses services (cf. p-v de l'audition du 22 mars, 2021, questions 77 et 112) ; il aurait par ailleurs été harcelé, mais sans jamais avoir été arrêté (cf. p-v de l'audition du 22 mars 20121, questions 78 à 84, 88 à 90).</w:t>
      </w:r>
    </w:p>
    <w:p>
      <w:r>
        <w:rPr>
          <w:b/>
        </w:rPr>
        <w:t>E. 3.4</w:t>
      </w:r>
    </w:p>
    <w:p>
      <w:r>
        <w:t>Par ailleurs, le recourant soutient que son état de santé n'a pas été suffisamment instruit. Ce reproche est cependant infondé. En effet, les troubles dont souffre l'intéressé ont été indiqués lors des auditions (cf. p-v de l'audition Dublin du 5 mars 2021 ; p-v de l'audition du 22 mars 2021, questions 8 à 22 et 121 à 122) et dûment pris en considération par la décision du SEM (cf. p. 6), ceux-ci correspondant en outre au diagnostic posé dans le rapport médical du (...) mars 2021. L'acte de recours n'apporte pas de précisions supplémentaires à cet égard, aucun rapport médical complémentaire n'y ayant été d'ailleurs joint. Le SEM a également traité du lien entre la manifestation de (...) 2019 et les problèmes de santé du recourant, relevant qu'il n'était parti qu'une année plus tard et avait alors été en mesure d'effectuer des travaux physiques (cf. p. 5 de la décision). Pour le surplus, les effets de l'état de santé de l'intéressé sur l'exécution de son renvoi seront examinés avec le fond (cf. consid. 9). Les faits pertinents ont dès lors été établis à satisfaction au sens de l'art. 106 al. 1 let. b LAsi.</w:t>
      </w:r>
    </w:p>
    <w:p>
      <w:r>
        <w:rPr>
          <w:b/>
        </w:rPr>
        <w:t>E. 3.5</w:t>
      </w:r>
    </w:p>
    <w:p>
      <w:r>
        <w:t>Le recourant soutient enfin que les questions posées par le SEM étaient orientées et visaient à lui faire dire qu'il avait quitté la Géorgie pour des motifs économiques. Ce grief est lui aussi infondé. En effet, l'examen du procès-verbal de l'audition du 22 mars 2021 montre que les questions posées à ce sujet, qui peuvent certes être qualifiées de fermées, s'inscrivaient dans la logique du dialogue avec l'auditrice (cf. questions 68 et 69 ; 106 et 107 ; 109 et 110) et explicitaient les réponses précédentes de l'intéressé ; dès lors, elles ne démontrent en rien que l'auditrice a tenté de solliciter les réponses reçues.</w:t>
      </w:r>
    </w:p>
    <w:p>
      <w:r>
        <w:rPr>
          <w:b/>
        </w:rPr>
        <w:t>E. 3.6</w:t>
      </w:r>
    </w:p>
    <w:p>
      <w:r>
        <w:t>Au regard de ce qui précède, aucun élément n'imposait au SEM de poursuivre l'instruction, en dépit de ce que prétend le recourant. Partant, le grief allégué d'une violation de la maxime inquisitoire s'avère mal fondé et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l'intéressé n'a pas été en mesure de faire apparaître la pertinence et le sérieux de ses motifs.</w:t>
      </w:r>
    </w:p>
    <w:p>
      <w:r>
        <w:rPr>
          <w:b/>
        </w:rPr>
        <w:t>E. 5.2</w:t>
      </w:r>
    </w:p>
    <w:p>
      <w:r>
        <w:t>En effet, il ressort de ses dires qu'il a été harcelé et menacé par les autorités de la ville de E._______, dont le maire, et que des personnes agissant peut-être à l'instigation de ces autorités ont tenté de faire péricliter son commerce en exerçant des pressions sur ses clients ; le but aurait été de lui faire quitter la région. Contrairement à ce qu'il affirme dans son recours (cf. p. 2, 4, 11 et 12), son commerce n'a cependant été ni saisi ni fermé par décision administrative (cf. p-v de l'audition du 22 mars 2021, questions 77 et 78). L'intéressé aurait ainsi subi un grave préjudice économique. Cependant, aussi difficiles qu'aient pu être pour lui les conséquences de ces manoeuvres, elles ne peuvent être qualifiées de persécution, faute d'intensité : en effet, elles ne mettaient pas sa vie et son intégrité physique en danger, voire sa liberté (art. 3 al. 2 LAsi), le recourant n'ayant jamais été arrêté ou maltraité (cf. p-v de l'audition du 22 mars 2021, questions 89 et 90). Pour le reste, celui-ci n'a pas démontré l'existence d'une pression psychique insupportable conformément aux exigences mises par la jurisprudence pour une telle reconnaissance (cf. notamment ATAF 2010/2018 consid. 3.3.1.1 ; Jurisprudence et informations de la Commission suisse de recours en matière d'asile [JICRA] 1996 n° 30 consid. 4d et 2000 n° 17 consid. 11b).</w:t>
      </w:r>
    </w:p>
    <w:p>
      <w:r>
        <w:rPr>
          <w:b/>
        </w:rPr>
        <w:t>E. 5.3</w:t>
      </w:r>
    </w:p>
    <w:p>
      <w:r>
        <w:t>Il n'apparaît pas non plus que son engagement politique et celui de ses proches, à supposer qu'il soit avéré, ait été de nature à le mettre en danger. En effet, le Mouvement national uni, auquel le recourant aurait adhéré, est un parti légal. Fondé par l'ancien président Saakashvili, en fonction de 2004 à 2013, il a été le plus important parti représenté au Parlement, de 2004 à 2012. Il est depuis lors dans l'opposition ; toutefois, lors des élections législatives de novembre 2020, il a obtenu 27% des voix et 36 sièges, demeurant le second parti du pays. S'ils se sont opposés aux résultats contestés desdites élections en boycottant le Parlement nouvellement constitué et en demandant qu'elles soient réitérées, les partis de l'opposition ont accepté dans leur majorité de rejoindre ce dernier, suite à un accord trouvé sous l'égide de l'UE, soutenue par les Etats-Unis, le Mouvement national uni réservant pour sa part son acceptation à la condition que son président actuel soit libéré. Au regard d'une clause d'engagement visant à résoudre des cas dits de « justice politisée » par le biais d'amnisties ou de mesures similaires, l'accord propose que celui-ci soit libéré (cf. notamment Jamestown Foundation, Year 2020 in Review : A Weakening of Georgien Democracy ; Eurasia Daily Monitor Volume : 18 Issue : 1, 4 janvier 2021, consulté, le 22 avril 2021, sous https://jamestown.org/program/year-2020-in-review-a-weakening-of-geor- gian-democracy ; Journal Le Temps, Géorgie : le parti au pouvoir et l'opposition trouvent un accord sous l'égide de l'Europe, article du 19 avril 2021, consulté, le 22 avril 2021, sous https://www.letemps.ch/mon- de/georgie-parti-pouvoir-lopposition-trouvent-un-accord-legide-lue ; Ra- dio Free Europe/Radio Liberty, EU mediates deal to end Georgia's political crisis, article du 19 avril 2021, consulté, le 22 avril 2021, sous https://www.rferl.org/a/eu-mediates-to-end-georgia-political-crisis/312121 49.html). Il faut également constater que le neveu du recourant, pourtant plus engagé que lui et cadre du parti depuis plusieurs années (cf. p-v de l'audition du 22 mars 2021, questions 94, 95 et 99), n'aurait subi aucun préjudice. Il en va de même pour ses frères, pourtant d'après lui également suspects aux yeux des autorités, qui n'auraient pas rencontré d'ennuis ; interrogé à ce sujet, l'intéressé n'a pas fourni de réponse claire (cf. p-v de l'audition du 22 mars 2021, question 105). Il n'a en outre jamais affirmé, contrairement à ce qu'il allègue dans son recours (cf. p. 11), que les membres de sa famille avaient été fichés comme opposants (cf. p-v de l'audition du 22 mars 2021, question 69), se contentant d'alléguer l'existence de pressions sur celle-ci, sans autre précision. L'hypothèse d'une persécution réfléchie, due à l'aide que le recourant apportait à son neveu, ne peut ainsi être retenue. Enfin, sa participation à la manifestation de (...) 2019 ne se trouve manifestement pas à l'origine de son départ, qui a eu lieu un an plus tard.</w:t>
      </w:r>
    </w:p>
    <w:p>
      <w:r>
        <w:rPr>
          <w:b/>
        </w:rPr>
        <w:t>E. 5.4</w:t>
      </w:r>
    </w:p>
    <w:p>
      <w:r>
        <w:t>Il y a en outre lieu de constater que l'intéressé a clairement mis son départ en relation avec la recherche d'un travail et a exposé que ce départ avait des raisons essentiellement économiques ; il a été explicite sur ce point, ceci à plusieurs reprises lors de son audition (cf. p-v de l'audition du 22 mars 2021, questions 19, 68, 106 et 107, 121 et 122). Il a même admis qu'il ne serait pas parti s'il avait disposé d'un emploi en Géorgie (cf. p-v de l'audition du 22 mars 2021, question 110). L'intéressé n'est ainsi pas parti pour échapper à un danger de persécution imminent, son comportement ne militant d'ailleurs pas en faveur de cette hypothèse ; en atteste le fait qu'après son déplacement de trois mois en Islande, il a regagné la Géorgie. Par ailleurs, après son second départ d'août 2020, il a passé six mois dans différents Etats (Bulgarie, Pologne, Allemagne et Slovaquie) pour y travailler, sans toutefois demander à y bénéficier du statut de réfugié, ou du moins sans s'inquiéter de sa situation en cherchant à la régulariser.</w:t>
      </w:r>
    </w:p>
    <w:p>
      <w:r>
        <w:rPr>
          <w:b/>
        </w:rPr>
        <w:t>E. 5.5</w:t>
      </w:r>
    </w:p>
    <w:p>
      <w:r>
        <w:t>Le recourant n'a dès lors pas établi la pertinence de ses motifs, ni renversé la présomption que la Géorgie est un Etat sûr exempt de persécutions au sens de l'art. 6a al. 2 let. a LAsi (safe country), tel qu'il a été défini par la décision du Conseil fédéral du 28 août 2019, avec effet au 1er octobre suivant. Il s'ensuit que le recours doit être rejeté, en tant qu'il conteste la non-reconnaissance de la qualité de réfugié et le refus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 qui a remplacé, le 1er janvier 2019, l'art. 83 de l'ancienne loi sur les étrangers (LEtr), sans en modifier cependant le contenu.</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pour les motifs exposés (cf. consid. 5), le recourant n'a pas rendu hautement probable qu'il encourrait un risque de subir un traitement contraire à cette disposition. Dès lors, l'exécution de son renvoi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9.2</w:t>
      </w:r>
    </w:p>
    <w:p>
      <w:r>
        <w:t>Il est notoire que la Géorgie, exception faite des régions sécessionnistes d'Abkhazie et d'Ossétie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comme indiqué, le Conseil fédéral a désigné la Géorgie comme Etat d'origine sûr, soit comme un Etat vers lequel un rapatriement peut être considéré, en principe, comme raisonnablement exigible (art. 6a al. 2 let. a LAsi et art. 2 de l'ordonnance 1 du 11 août 1999 sur l'asile [OA 1, RS 142.311], renvoyant à l'annexe 2 de ladite ordonnance).</w:t>
      </w:r>
    </w:p>
    <w:p>
      <w:r>
        <w:rPr>
          <w:b/>
        </w:rPr>
        <w:t>E. 9.3</w:t>
      </w:r>
    </w:p>
    <w:p>
      <w:r>
        <w:t>En outre, il ne ressort du dossier aucun élément dont on pourrait inférer que l'exécution du renvoi impliquerait une mise en danger concrète du recourant. Le Tribunal relève en effet qu'il est dans la force de l'âge, sans charge de famille et bénéficie d'une expérience professionnelle dans l'agriculture et le bâtiment. De plus, il dispose d'un réseau familial dans son pays, sa mère, sa soeur et deux de ses frères demeurant en Géorgie ; rien ne s'oppose à ce qu'il loge à nouveau avec sa mère et son frère.</w:t>
      </w:r>
    </w:p>
    <w:p>
      <w:r>
        <w:rPr>
          <w:b/>
        </w:rPr>
        <w:t>E. 9.4</w:t>
      </w:r>
    </w:p>
    <w:p>
      <w:r>
        <w:t>S'agissant de l'état de santé de l'intéressé, le Tribunal rappelle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9.5</w:t>
      </w:r>
    </w:p>
    <w:p>
      <w:r>
        <w:t>En l'espèce, l'intéressé souffre d'une atteinte à la colonne vertébrale (lombosciatalgie) ayant entraîné des troubles d'ordre neurologique. Il était traité par antalgiques pour ces troubles avant son départ de Géorgie ; ces derniers ne l'ont cependant pas empêché d'effectuer des travaux physiquement difficiles dans l'agriculture, ainsi que dans le bâtiment, durant les six mois précédant son arrivée en Suisse. Il apparaît certes que les douleurs dont souffre l'intéressé se sont péjorées depuis son arrivée en Suisse ; il a dû être examiné à l'hôpital de L._______, le (...) mars 2021. Le rapport établi le même jour préconise certes un examen radiologique ainsi qu'une IRM en cas de récidive ; il ne prévoit toutefois aucune intervention chirurgicale, contrairement à ce qui est affirmé dans le recours (cf. p. 15), et prescrit la poursuite du traitement par antalgiques, ainsi qu'un examen par le médecin du CFA. Il ne fait pas non plus référence à la nécessité de moyens auxiliaires, telles qu'une béquille. La fiche de soins du (...) avril 2021 prévoit certes une consultation en urgence, à la suite de la survenance de nouvelles douleurs, mais indique que des antalgiques ont été administrés ; ce document ne fait dès lors pas état d'éléments substantiellement nouveaux et décisifs. Sur les base des renseignements figurant au dossier, il n'apparaît ainsi pas que les problèmes de santé de l'intéressé, aussi gênants soient-ils, soient d'une gravité telle, au sens de la jurisprudence (cf. consid. 9.4), que l'exécution du renvoi en deviendrait raisonnablement inexigible.</w:t>
      </w:r>
    </w:p>
    <w:p>
      <w:r>
        <w:rPr>
          <w:b/>
        </w:rPr>
        <w:t>E. 9.6</w:t>
      </w:r>
    </w:p>
    <w:p>
      <w:r>
        <w:t>A cela s'ajoute que le système de santé géorgien est en mesure de prendre en charge les troubles du recourant (cf. arrêt du TAF E-5446/2019 du 7 avril 2020 consid. 4.3.2 et réf. cit.). Comme il a déjà été constaté, ce système de santé a connu une importante restructuration ces dernières années et de grands progrès ont été réalisés.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Il existe également un programme d'aide sociale pour les personnes vivant sous le seuil de pauvreté, prévoyant notamment une couverture d'assurance-maladie gratuite. Pour les citoyens géorgiens, l'inscription à cette assurance maladie universelle se fait de manière automatique, dès qu'ils se rendent en consultation dans un hôpital.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assister des familles jugées vulnérables. Dans ce contexte, la prise en charge de ses traitements et médicaments sera en grande partie assurée au recourant (cf. arrêt du TAF E-2340/2019 du 22 mai 2019 consid. 6.3 et 6.6 ; E-100/2021 du 15 janvier 2021 consid. 6.6 et 6.7 et réf. cit.). L'intéressé n'a en rien démontré qu'il serait privé de l'accès à la couverture des soins par l'assurance maladie ou ne pourrait pas être soutenus en cas de besoin par l'assurance complémentaire ou par une ONG. Le cas échéant, la fourniture d'une aide au retour adéquate, sous forme de médicaments (art. 93 al. 1 let. d LAsi), est également de nature à favoriser sa réinstallation ; il pourra également déposer une demande en vue d'obtenir, pour un laps de temps convenable, une prise en charge de sa médication, conformément art. 73 ss OA 2 (RS 142.312). Enfin, il incombera au SEM, si cette mesure se révèle nécessaire, d'adapter l'échéance du délai de départ aux impératifs du traitement suivi par le recourant.</w:t>
      </w:r>
    </w:p>
    <w:p>
      <w:r>
        <w:rPr>
          <w:b/>
        </w:rPr>
        <w:t>E. 9.7</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Par ailleurs,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arrêts du TAF E-6856/2017 du 6 avril 2020 consid. 9, D-5461/2019 du 26 mars 2020 p. 7 et D-1282/2020 du 25 mars 2020 consid. 5.5).</w:t>
      </w:r>
    </w:p>
    <w:p>
      <w:r>
        <w:rPr>
          <w:b/>
        </w:rPr>
        <w:t>E. 12</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14</w:t>
      </w:r>
    </w:p>
    <w:p>
      <w:r>
        <w:t>Dans la mesure où les conclusions du recours étaient d'emblée vouées à l'échec, la requête d'assistance judiciaire partielle doit être rejetée (art. 65 al. 1 PA).</w:t>
      </w:r>
    </w:p>
    <w:p>
      <w:r>
        <w:rPr>
          <w:b/>
        </w:rPr>
        <w:t>E. 15</w:t>
      </w:r>
    </w:p>
    <w:p>
      <w:r>
        <w:t>Compte tenu de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