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E-1596/2013 vom 8. April 2013</w:t>
      </w:r>
    </w:p>
    <w:p>
      <w:r>
        <w:t>Bundesverwaltungsgericht, 2013-04-08, DE</w:t>
      </w:r>
    </w:p>
    <w:p>
      <w:r>
        <w:rPr>
          <w:b/>
        </w:rPr>
        <w:t xml:space="preserve">Quelle: </w:t>
      </w:r>
      <w:r>
        <w:t>https://mcp.opencaselaw.ch/entscheid/bvger_E-1596_2013</w:t>
      </w:r>
    </w:p>
    <w:p>
      <w:r>
        <w:t>FR: TAF E-1596/2013 du 8 avril 2013</w:t>
      </w:r>
    </w:p>
    <w:p>
      <w:r>
        <w:t>IT: TAF E-1596/2013 del 8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Vorliegend handelt es sich um eine sogenannte Laienbeschwerde, an die keine hohen formellen Anforderungen zu stellen sind, weshalb zu Gunsten des Beschwerdeführers von einer vollumfänglichen Anfechtung der vorinstanzlichen Verfügung auszugehen ist und auf die Ansetzung einer Nachfrist zur Verbesserung bzw. Klärung der Rechtsbegehren im Sinne von Art. 52 Abs. 2 VwVG verzichtet werden kann.</w:t>
      </w:r>
    </w:p>
    <w:p>
      <w:r>
        <w:rPr>
          <w:b/>
        </w:rPr>
        <w:t>E. 1.4</w:t>
      </w:r>
    </w:p>
    <w:p>
      <w:r>
        <w:t>Die Beschwerde ist frist- und somit auch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 unter nachfolgendem Vorbehalt (vgl. E. 2.3) -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unbegründete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2.3</w:t>
      </w:r>
    </w:p>
    <w:p>
      <w:r>
        <w:t>Auf die Anträge, es sei die aufschiebende Wirkung zu gewähren sowie ein Vollzugsstopp zu verfügen, ist mangels Rechtsschutzinteresses nicht einzutreten (Art. 55 Abs. 1 VwVG und Art. 42 AsylG).</w:t>
      </w:r>
    </w:p>
    <w:p>
      <w:r>
        <w:rPr>
          <w:b/>
        </w:rPr>
        <w:t>E. 3</w:t>
      </w:r>
    </w:p>
    <w:p>
      <w:r>
        <w:t>Die derzeit noch gültigen Nichteintretensentscheide sind in Art. 32 bis 34 AsylG geregelt. Gemäss dem Grundsatzentscheid der damaligen Schweizerischen Asylrekurskommission (ARK) sind diese Bestimmungen nicht als "Kann-Bestimmung" formuliert und räumen folglich dem Bundesamt kein Rechtsfolgeermessen ein; folglich muss es vielmehr einen Nichtentretensentscheid fällen, wenn die Erfüllung eines solchen Tatbestandes feststeht (vgl. Entscheidungen und Mitteilungen der Schweizerischen Asylrekurskommission [EMARK] 2002 Nr. 15 E. 5c). Aufgrund dieser Erkenntnisse drängt sich vorliegend die Frage auf, ob die Vorinstanz - anstatt materiell-rechtlich im Sinne von Art. 40 AsylG zu entscheiden - nicht einen Nichteintretens-Entscheid gemäss Art. 34 Abs. 1 AsylG hätte in Betracht ziehen müssen. Da indes für die Beschwerdeführenden kein Nachteil ersichtlich ist, kann diese Fragestellung vorliegend offen bleiben.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 Verfügung vom 19. März 2013 im Wesentlichen damit, dass Übergriffe durch Dritte oder Befürchtungen, künftig solchen ausgesetzt zu sein, nur dann asylrelevant seien, wenn der Staat seiner Schutzpflicht nicht nachkomme oder nicht in der Lage sei, Schutz zu gewähren. Zwar habe der Beschwerdeführer ausgesagt, die Polizei habe nach ihrer Benachrichtigung nichts unternommen. Doch bestehe die Möglichkeit, gegen fehlbare Beamte auf dem Rechtsweg vorzugehen und die ihm zustehenden Rechte einzufordern.</w:t>
      </w:r>
    </w:p>
    <w:p>
      <w:r>
        <w:rPr>
          <w:b/>
        </w:rPr>
        <w:t>E. 5.2</w:t>
      </w:r>
    </w:p>
    <w:p>
      <w:r>
        <w:t>In seiner Beschwerde vom 26. März 2013 führte der Beschwerdeführer im Wesentlichen aus, er habe Bosnien und Herzegowina verlassen, weil er keinen Schutz durch die bosnisch-herzegowinische Polizei erhalten habe. Zudem sei er auch von seiner eigenen Familie verstossen worden, da auch diese ihn für den Tod seiner Ehefrau verantwortlich machen würde.</w:t>
      </w:r>
    </w:p>
    <w:p>
      <w:r>
        <w:rPr>
          <w:b/>
        </w:rPr>
        <w:t>E. 5.3</w:t>
      </w:r>
    </w:p>
    <w:p>
      <w:r>
        <w:t>Vorab ist festzustellen, dass der Beschwerdeführer nicht vorbringt, in seinem Heimatstaat (Montenegro) keinen Schutz zu finden, sondern in einem Drittstaat (Bosnien und Herzegowina), weshalb er des Schutzes der Schweiz nicht bedarf, da davon auszugehen ist, dass er diesen in seinem Heimatstaat finden kann. Im Übrigen gilt darauf hinzuweisen, dass sowohl Bosnien und Herzegowina wie auch Montenegro als verfolgungssichere Staaten gelten. Eine begründete Furcht vor künftiger Verfolgung ist bei dieser Sachlage mit überwiegender Wahrscheinlichkeit auszuschliessen.</w:t>
      </w:r>
    </w:p>
    <w:p>
      <w:r>
        <w:rPr>
          <w:b/>
        </w:rPr>
        <w:t>E. 5.4</w:t>
      </w:r>
    </w:p>
    <w:p>
      <w:r>
        <w:t>Das Bundesverwaltungsgericht kommt folglich zum Schluss, dass das BFM im Ergebnis zu Recht die Vorbringen als nicht asylrelevant qualifiziert hat. Nach der Schutztheorie ist die flüchtlingsrechtliche Relevanz einer nichtstaatlichen Verfolgung vom Vorhandensein eines adäquaten Schutzes durch den Heimat- oder Herkunftsstaat abhängig.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 oder Herkunftsstaates abzuklären und zu begründen (vgl. EMARK 2006 Nr. 18 E. 10.2). Die Bedingung des vorgebrachten fehlenden Schutzes durch die bosnisch-herzegowinischen (oder die montenegrinischen) Behörden ist vorliegend nicht erfüllt, da von einer grundsätzlich funktionierenden und effizienten Schutzinfrastruktur in beiden Ländern auszugehen ist, welche dem Beschwerdeführer zur Verfügung steht und es ihm auch grundsätzlich ermöglicht, durch die Inanspruchnahme von Polizei und Justiz gegen allfällige Bedrohungen seitens der Familie seiner verstorbenen Ehefrau oder auch seiner eigenen vorzugehen. Das Vorhandensein eines solchen Schutzwillens von Bosnien und Herzegowina wird in konkreter Weise durch den Umstand untermauert, dass die Polizei von Sarajevo noch im Spital eingeschritten sei und zur Beruhigung der einzelnen Familienmitglieder gemahnt habe, als sie vom Beschwerdeführer benachrichtigt worden sei (A7 S. 4). Auch hinsichtlich weiteren Drohungen, die der Beschwerdeführer von der Familie seiner Ehefrau erfahren habe, habe die Polizei - wohl im Rahmen der Verhältnismässigkeit - reagiert (A7 S. 5). Des Weiteren gilt festzustellen, dass hinsichtlich des Todes der Ehefrau eine polizeiliche Untersuchung in Sarajevo eingeleitet worden sei (A7 S. 6). 6.1 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(vgl. BVGE 2009/50 E. 9 S. m.H.a. EMARK 2001 Nr. 21). 6.2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6.3 Der Vollzug ist nicht zulässig, wenn völkerrechtliche Verpflichtungen der Schweiz einer Weiterreise der Ausländerin oder des Ausländers in den Heimat-, Herkunfts- oder einen Drittstaat entgegenstehen (Art. 83 Abs. 3 AuG). 6.3.1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6.3.2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6.4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Aus allgemeiner Sicht sei erwähnt, dass in Montenegro keine Situation allgemeiner Gewalt vorherrscht. Zudem verfügt der Beschwerdeführer nicht nur über eine Berufsausbildung, sondern auch über mehrere Jahre Arbeitserfahrung, dank welcher er seine Familie in Sarajevo durchgebracht habe (A3 S. 4). So ist davon auszugehen, dass ihm dies auch in Zukunft möglich sein wird. In Montenegro leben ferner neben seinen Eltern auch seine Geschwister und weitere Verwandte (A3 S. 5). Zwar gab er in seiner Beschwerdeschrift an, er sei von seiner Familie verstossen worden, doch kann davon ausgegangen werden, dass er trotz seines Auslandaufenthaltes auf ein soziales Netz in Montenegro zurückgreifen kann. Die in der Beschwerdeschrift geäusserten - aber nicht belegten - gesundheitlichen Beschwerden lassen den Vollzug der Wegweisung nicht unzumutbar erscheinen, da davon auszugehen ist, dass eine allfällige Behandlung auch in Montenegro möglich ist.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Aufgrund des sehr kurzen Aufenthaltes der Beschwerdeführenden in der Schweiz - sie sind erst am (...) 2013 eingereist - und ihres noch jungen Alters ist davon auszugehen, dass sie in ihrem Heimatland reintegriert werden können (vgl. BVGE 2009/28 E. 9.3.4). Nach dem Gesagten erweist sich der Vollzug der Wegweisung auch als zumutbar. 6.5 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 6.6 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 8.1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BGE 125 II 265 E. 4b). Aufgrund obiger Erwägungen ist die eingereichte Beschwerde als aussichtslos zu erachten, weshalb das Gesuch um Gewährung der unentgeltlichen Prozessführung im Sinne von Art. 65 Abs. 1 VwVG abzuweisen ist. 8.2 Bei diesem Ausgang des Verfahrens sind die Kosten den Beschwerdeführenden aufzuerlegen (Art. 63 Abs. 1 VwVG) und auf insgesamt Fr. 600.- festzusetzen (Art. 1 - 3 des Reglements vom 21. Februar 2008 über die Kosten und Entschädigungen vor dem Bundesverwaltungsgericht [VGKE, SR 173.320.2]). 8.3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