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E-1592/2023 vom 28. März 2023</w:t>
      </w:r>
    </w:p>
    <w:p>
      <w:r>
        <w:t>Bundesverwaltungsgericht, 2023-03-28, DE</w:t>
      </w:r>
    </w:p>
    <w:p>
      <w:r>
        <w:rPr>
          <w:b/>
        </w:rPr>
        <w:t xml:space="preserve">Quelle: </w:t>
      </w:r>
      <w:r>
        <w:t>https://mcp.opencaselaw.ch/entscheid/bvger_E-1592_2023</w:t>
      </w:r>
    </w:p>
    <w:p>
      <w:r>
        <w:t>FR: TAF E-1592/2023 du 28 mars 2023</w:t>
      </w:r>
    </w:p>
    <w:p>
      <w:r>
        <w:t>IT: TAF E-1592/2023 del 28 marzo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als Verfügungsadressat zur Beschwerdeführung legitimiert (Art. 48 Abs. 1 VwVG). Auf die frist- und formgerecht eingereichte Beschwerde ist einzutreten (Art. 108 Abs. 3 AsylG [SR 142.31]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2.3</w:t>
      </w:r>
    </w:p>
    <w:p>
      <w:r>
        <w:t>Die vorliegende Beschwerde erweist sich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3.1</w:t>
      </w:r>
    </w:p>
    <w:p>
      <w:r>
        <w:t>Der Beschwerdeführer rügt, die Vorinstanz habe den Sachverhalt nicht hinreichend festgestellt und sein rechtliches Gehör verletzt. Dies begründet er einerseits damit, dass die Vorinstanz nur auf behördliche Aussagen und pauschale Versprechungen abgestellt habe, ohne die konkrete Gefahr bei einer Rückführung nach Rumänien individuell zu prüfen. Sie missachte die spezifische Begründung im Einzelfall und damit den Anspruch auf rechtliches Gehör. Anderseits habe sie den Sachverhalt bezüglich der systemischen Schwachstellen in Rumänien nicht hinreichend abgeklärt und Berichte von Nichtregierungsorganisationen nicht beachtet.</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w:t>
      </w:r>
    </w:p>
    <w:p>
      <w:r>
        <w:rPr>
          <w:b/>
        </w:rPr>
        <w:t>E. 3.3</w:t>
      </w:r>
    </w:p>
    <w:p>
      <w:r>
        <w:t>Entgegen der Auffassung des Beschwerdeführers hat sich die Vorinstanz hinreichend mit dem konkreten Einzelfall auseinandergesetzt. Sie hat seine Vorbringen berücksichtigt und nachvollziehbar begründet, von welchen Überlegungen sie sich hat leiten lassen. Alleine der Umstand, dass die Vorinstanz die Lage in Rumänien anders einschätzt als der Beschwerdeführer, stellt keine Verletzung des Anspruchs auf rechtliches Gehör respektive der Pflicht zur vollständigen und richtigen Abklärung des rechtserheblichen Sachverhalts dar. Dies beschlägt vielmehr die materielle Würdigung. Der Antrag auf Aufhebung der angefochtenen Verfügung und Rückweisung der Angelegenheit zu weiteren Sachverhaltsabklärungen an die Vorinstanz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(nach Art. 23-25 Dublin-III-VO) - und damit in der Konstellation wie vorliegend - findet grundsätzlich keine (neue) Zuständigkeitsprüfung nach Kapitel III Dublin-III-VO mehr statt (vgl. zum Ganzen BVGE 2017 VI/5 E. 6.2 und 8.2.1).</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Nach der Konzeption des Gesetzes kommt dem SEM bei der Frage der Anwendung von Art. 29a Abs. 3 AsylV 1 ein Ermessensspielraum zu (vgl. BVGE 2015/9 E. 8.2.2). Liegen hingegen individuelle völkerrechtliche Überstellungshindernisse vor, ist der Selbsteintritt zwingend (vgl. BVGE 2015/9 E. 8.2.1 und 2011/9 E. 4.1 m.w.H.).</w:t>
      </w:r>
    </w:p>
    <w:p>
      <w:r>
        <w:rPr>
          <w:b/>
        </w:rPr>
        <w:t>E. 5.1</w:t>
      </w:r>
    </w:p>
    <w:p>
      <w:r>
        <w:t>Die Erwägungen der angefochtenen Verfügung sind vollumfänglich zu stützen, weshalb vorab darauf verwiesen werden kann. Gemäss den Akten ist erstellt, dass der Beschwerdeführer am 23. November 2022 in Rumänien ein Asylgesuch eingereicht hat (vgl. SEM-eAkten, [...]). Diese Tatsache wird alsdann von den rumänischen Behörden bestätigt (vgl. SEM-eAkten, [...]). Rumänien hat sich sodann auf das frist- und formgerechte Ersuchen des SEM (vgl. dazu Art. 23 Abs. 1-4 Dublin-III-VO) zur Wiederaufnahme des Beschwerdeführers gemäss Art. 18 Abs. 1 Bst. c Dublin-III-VO bereit erklärt (vgl. SEM-eAkten, [...]). Damit ist die Zuständigkeit Rumäniens grundsätzlich gegeben.</w:t>
      </w:r>
    </w:p>
    <w:p>
      <w:r>
        <w:rPr>
          <w:b/>
        </w:rPr>
        <w:t>E. 5.2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(entspricht Art. 3 EMRK)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5.4</w:t>
      </w:r>
    </w:p>
    <w:p>
      <w:r>
        <w:t>Gemäss Rechtsprechung des Bundesverwaltungsgerichts bestehen keine Gründe für die Annahme, das Asylverfahren und die Aufnahmebedingungen für Antragstellende in Rumänien würden systemische Schwachstellen im Sinne von Art. 3 Abs. 2 Sätze 2 und 3 Dublin-III-VO aufweisen (vgl. etwa die Urteile des BVGer F-4462/2022 vom 13. Oktober 2022 E. 5.2; F-2989/2022 vom 27. Juli 2022 E. 6.2; E-3040/2022 vom 26. Juli 2022 E. 7.2). Solche hat auch der Europäische Gerichtshof für Menschenrechte (EGMR) bislang nicht erkannt. Für eine Änderung der Rechtsprechung besteht auch unter Berücksichtigung der Vorbringen und Beweismittel des Beschwerdeführers zu seiner Behandlung in Rumänien keine Veranlassung. Das Bundesverwaltungsgericht anerkennt zwar, dass die Situation von Asylsuchenden in Rumänien schwierig sein kann. Es geht aber nicht davon aus, die bekannten Unzulänglichkeiten würden in einer Weise auftreten, welche darauf schliessen liesse, Rumänien sei grundsätzlich nicht gewillt oder nicht fähig, Schutzberechtigten die ihnen zustehenden Rechte zu gewähren, beziehungsweise dass diese Ansprüche bei Bedarf nicht auf dem Rechtsweg durchgesetzt werden könnten. Mit seinen Ausführungen zu den als unbefriedigend erlebten Lebensumständen, namentlich den hygienischen Zuständen in der Unterkunft, vermag er nicht substantiiert darzulegen, dass ihm in Rumänien ein faires Asylverfahren sowie eine adäquate Unterstützung und Unterbringung grundsätzlich verweigert worden wäre. Die Vermutung der Einhaltung der völkerrechtlichen Pflichten durch Rumänien vermag er damit jedenfalls nicht umzustossen, respektive keine ernsthaften Hinweise für systemische Mängel im rumänischen Asylverfahren und den dortigen Aufnahmebedingungen im Sinne von Art. 3 Abs. 2 zweiter Satz Dublin-III-VO darzutun.</w:t>
      </w:r>
    </w:p>
    <w:p>
      <w:r>
        <w:rPr>
          <w:b/>
        </w:rPr>
        <w:t>E. 5.5</w:t>
      </w:r>
    </w:p>
    <w:p>
      <w:r>
        <w:t>Unter diesen Umständen ist die Anwendung von Art. 3 Abs. 2 Dublin-III-VO nicht gerechtfertigt.</w:t>
      </w:r>
    </w:p>
    <w:p>
      <w:r>
        <w:rPr>
          <w:b/>
        </w:rPr>
        <w:t>E. 6.1</w:t>
      </w:r>
    </w:p>
    <w:p>
      <w:r>
        <w:t>Der Beschwerdeführer bringt weiter vor, er befürchte, in Rumänien Opfer eines illegalen, sogenannten «Push-Back» zu werden und in die Türkei zurückgeschickt zu werden, wo ihm eine Rückführung nach Syrien drohe. Bei seinem Aufenthalt in Rumänien hätte ihn die rumänische Polizei den bulgarischen Polizisten übergeben, die ihn anschliessend illegal in die Türkei zurückgeschoben haben sollen. Weiter drohe ihm in Rumänien eine Inhaftierung und die medizinische Versorgung sei nicht gewährleistet.</w:t>
      </w:r>
    </w:p>
    <w:p>
      <w:r>
        <w:rPr>
          <w:b/>
        </w:rPr>
        <w:t>E. 6.2</w:t>
      </w:r>
    </w:p>
    <w:p>
      <w:r>
        <w:t>Unter dem Blickwinkel von Art. 17 Abs. 1 Dublin-III-VO ist demnach zu prüfen, ob im konkreten Fall einer Überstellung eine Verletzung von Art. 3 EMRK droht, was wiederum die Schweiz zur Anwendung der Souveränitätsklausel verpflichten würde (vgl. BVGE 2013/24 E. 5).</w:t>
      </w:r>
    </w:p>
    <w:p>
      <w:r>
        <w:rPr>
          <w:b/>
        </w:rPr>
        <w:t>E. 6.3</w:t>
      </w:r>
    </w:p>
    <w:p>
      <w:r>
        <w:t>Der Beschwerdeführer hat keine konkreten Hinweise für die Annahme dargetan, Rumänien würde ihm dauerhaft die ihm gemäss Aufnahmerichtlinie ABl. L 180/96 vom 29.06.2013) zustehenden minimalen Lebensbedingungen vorenthalten oder ihn in Form eines «Push-Back» beziehungsweise illegalen Kettenabschiebung in die Türkei zurückführen. Zum behaupteten Push-Back durch die rumänische respektive bulgarische Polizei ist mit der Vorinstanz festzuhalten, dass weder die rumänischen noch die bulgarischen Behörden im Rahmen des Informationsersuchens der Vorinstanz diesen Sachverhalt bestätigten oder sich sonstwie aus den Akten Indizien für diese Behauptung ergeben. Der eingereichte Mietvertrag seiner Wohnung in Istanbul (respektive dessen Erneuerung) vermag nur zu belegen, dass er nach seinem Aufenthalt in Rumänien offensichtlich in die Türkei zurückgekehrt ist, nicht aber, dass er gewaltsam dorthin abgeschoben wurde. Entgegen seiner Ansicht besteht auch kein begründeter Anlass, an den Informationen der rumänischen Behörden, namentlich seinem Untertauchen kurze Zeit nach der Asylgesuchstellung, zu zweifeln. Lebensnah betrachtet erscheint es wenig plausibel, dass die rumänischen Behörden sein Asylgesuch entgegennehmen, ihm seine Fingerabdrücke abnehmen und ihn in der Fingerabdruck-Datenbank (Eurodac) registrieren, um ihn dann unmittelbar - illegal - in die Türkei zurückzuschieben. Ferner vermögen auch die in der Beschwerdeschrift zitierten Berichte von Nichtregierungsorganisation nichts an dieser Auffassung zu ändern respektive Anlass für eine Änderung der Rechtsprechung zu geben. Aus keinem dieser Berichte ergeben sich konkrete Hinweise darauf, dass Dublin-Rückkehrenden - wie vorliegend der Beschwerdeführer - nach ihrer Ankunft in Rumänien der Zugang zu einem angemessenen Asylverfahren verweigert und sie in einen Drittstaat abgeschoben werden. Schliesslich ist zu berücksichtigen, dass die rumänischen Behörden, wie erwähnt, der Übernahme des Beschwerdeführers explizit zugestimmt haben. Nach dem Gesagten führt die Überstellung des Beschwerdeführers nach Rumänien gemäss Akten und der vorhandenen Quellenlage nicht zu einer Kettenabschiebung, welche gegen das Non-Refoulement-Prinzip verstossen würde, wie es in Art. 33 FK verankert ist und sich ausserdem aus Art. 4 der EU-Grundrechtecharta, Art. 3 EMRK oder Art. 3 FoK ableiten lässt.</w:t>
      </w:r>
    </w:p>
    <w:p>
      <w:r>
        <w:rPr>
          <w:b/>
        </w:rPr>
        <w:t>E. 6.4.1</w:t>
      </w:r>
    </w:p>
    <w:p>
      <w:r>
        <w:t>Was den medizinischen Sachverhalt angeht, so kann eine zwangsweise Rückweisung von Personen mit gesundheitlichen Problemen nur ganz ausnahmsweise einen Verstoss gegen Art. 3 EMRK darstellen. Ein solcher Verstoss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6.4.2</w:t>
      </w:r>
    </w:p>
    <w:p>
      <w:r>
        <w:t>Eine solche Situation ist vorliegend offensichtlich nicht gegeben. Es kann diesbezüglich vollumfänglich auf die entsprechenden Erwägungen in der angefochtenen Verfügung verwiesen werden.</w:t>
      </w:r>
    </w:p>
    <w:p>
      <w:r>
        <w:rPr>
          <w:b/>
        </w:rPr>
        <w:t>E. 6.4.3</w:t>
      </w:r>
    </w:p>
    <w:p>
      <w:r>
        <w:t>Im Übrigen geht das Bundesverwaltungsgericht in ständiger Rechtsprechung davon aus, dass Rumänien über eine ausreichende medizinische Infrastruktur verfügt (vgl. etwa Urteile des BVGer F-2989/2022 vom 27. Juli 2022 E. 7.4, E-1507/2022 vom 5. April 2022 E. 6.4.3, F-130/2022 vom 17. Januar 2022 E. 7.6, D-4730/2021 vom 3. November 2021 E. 8.3.1 oder F-3952/2021 vom 16. September 2021 E. 5.3). Es liegen keine substantiierten Hinweise zur Annahme der Gefahr vor, dass Rumänien den Beschwerdeführenden und ihren Kindern im Falle der Überstellung eine adäquate medizinische Behandlung verweigern könnte. Festzuhalten ist darüber hinaus, dass die schweizerischen Behörden, die mit dem Vollzug der angefochten Verfügung beauftragt sind, allfällig bestehenden besonderen medizinischen Bedürfnissen bei der Bestimmung der konkreten Modalitäten der Überstellung Rechnung tragen und die rumänischen Behörden vorgängig darüber informieren (vgl. Art. 31 f. Dublin-III-VO). Unter dem Blickwinkel der humanitären Gründe ist Folgendes festzuhalten: Gemäss Praxis des Bundesverwaltungsgerichts verfügt die Vor-instanz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vielmehr im Wesentlichen darauf, ob die Vorinstanz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w:t>
      </w:r>
    </w:p>
    <w:p>
      <w:r>
        <w:rPr>
          <w:b/>
        </w:rPr>
        <w:t>E. 6.5</w:t>
      </w:r>
    </w:p>
    <w:p>
      <w:r>
        <w:t>Nach dem Gesagten besteht kein Grund für eine Anwendung der Ermessensklauseln von Art. 17 Dublin-III-VO und Art. 29a Abs. 3 AsylV 1. Der Vollständigkeit halber ist festzuhalten, dass die Dublin-III-VO den Schutzsuchenden kein Recht einräumt, den ihren Antrag prüfenden Staat selber auszuwählen (vgl. auch BVGE 2010/45 E. 8.3).</w:t>
      </w:r>
    </w:p>
    <w:p>
      <w:r>
        <w:rPr>
          <w:b/>
        </w:rPr>
        <w:t>E. 7</w:t>
      </w:r>
    </w:p>
    <w:p>
      <w:r>
        <w:t>Demgemäss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Mit dem vorliegenden Urteil sind die Anträge auf superprovisorische Anordnung eines Vollzugsstopps und auf Erteilung der aufschiebenden Wirkung der Beschwerde gegenstandslos geworden.</w:t>
      </w:r>
    </w:p>
    <w:p>
      <w:r>
        <w:rPr>
          <w:b/>
        </w:rPr>
        <w:t>E. 9.1</w:t>
      </w:r>
    </w:p>
    <w:p>
      <w:r>
        <w:t>Angesichts des vorliegenden, direkten Entscheids in der Sache erweist sich der Antrag, es sei auf die Erhebung eines Kostenvorschusses zu verzichten, als gegenstandslos.</w:t>
      </w:r>
    </w:p>
    <w:p>
      <w:r>
        <w:rPr>
          <w:b/>
        </w:rPr>
        <w:t>E. 9.2</w:t>
      </w:r>
    </w:p>
    <w:p>
      <w:r>
        <w:t>Das Gesuch um Gewährung der unentgeltlichen Prozessführung ist abzuweisen, da die Begehren - wie sich aus den vorstehenden Erwägungen ergibt - als aussichtslos zu bezeichnen sind.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