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E-158/2017 vom 13. Januar 2017</w:t>
      </w:r>
    </w:p>
    <w:p>
      <w:r>
        <w:t>Bundesverwaltungsgericht, 2017-01-13, DE</w:t>
      </w:r>
    </w:p>
    <w:p>
      <w:r>
        <w:rPr>
          <w:b/>
        </w:rPr>
        <w:t xml:space="preserve">Quelle: </w:t>
      </w:r>
      <w:r>
        <w:t>https://mcp.opencaselaw.ch/entscheid/bvger_E-158_2017</w:t>
      </w:r>
    </w:p>
    <w:p>
      <w:r>
        <w:t>FR: TAF E-158/2017 du 13 janvier 2017</w:t>
      </w:r>
    </w:p>
    <w:p>
      <w:r>
        <w:t>IT: TAF E-158/2017 del 13 gennaio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Die Vorinstanz stellt in der angefochtenen Verfügung fest, der Abgleich mit der Zentraleinheit Eurodac weise nach, dass der Beschwerdeführer am 4. November 2016 in Italien ein Asylgesuch eingereicht habe. Die italienischen Behörden hätten innerhalb der festgelegten Frist zum Übernahmeersuchen keine Stellung genommen. Gemäss dem Dublin-Assoziierungsabkommen vom 26. Oktober 2004 (DAA, SR 0.142.392.68) und Art. 22 Abs. 7 Dublin-III-VO sei somit die Zuständigkeit zur Prüfung des Asyl- und Wegweisungsverfahrens auf Italien übergegangen. Es würden keine konkreten Anhaltspunkte vorliegen, dass sich Italien nicht an seine völkerrechtlichen Verpflichtungen halten und das Asyl- und Wegweisungsverfahren nicht korrekt durchführen würde. Bei einer Überstellung nach Italien sei nicht davon auszugehen, dass der Beschwerdeführer im Sinne von Art. 3 Abs. 2 Dublin-III-VO und Art. 3 EMRK gravierenden Menschenrechtsverletzungen ausgesetzt wäre, in eine existenzielle Notlage oder ohne Prüfung des Asylgesuchs und unter Verletzung des Non-Refoulement-Gebots in ihren Heimatstaat überstellt werde. Zudem würden in Italiens Asyl- und Aufnahmesystem keine systemischen Mängel vorliegen. Ferner würden auch keine Gründe gemäss Art. 16 Abs. 1 Dublin-III-VO vorliegen, die die Schweiz verpflichten würden, sein Asylgesuch zu prüfen. Aus dem blossen Umstand, dass er über Verwandte in der Schweiz verfüge, könne er nichts zu seinen Gunsten ableiten, zumal Eltern und Geschwister nicht als Familienangehörige gemäss Art. 2 Bst. g Dublin-III-VO gelten würden. Es bestehen auch keine Hinweise auf ein besonderes Abhängigkeitsverhältnis zwischen ihm und seinen Verwandten. Für eine Anwendung der Souveränitätsklausel würden ebenfalls keine Gründe vorliegen.</w:t>
      </w:r>
    </w:p>
    <w:p>
      <w:r>
        <w:rPr>
          <w:b/>
        </w:rPr>
        <w:t>E. 5.1</w:t>
      </w:r>
    </w:p>
    <w:p>
      <w:r>
        <w:t>Der Beschwerdeführer bringt in der Rechtsmitteleingabe vor, er bestreite nicht, dass er in Italien daktyloskopiert worden sei. Hingegen sei in Italien kein Asylgesuch entgegengenommen worden. Er sei mit seiner Mutter sowie zwei Geschwistern in die Schweiz eingereist, zu denen er sehr nahe verbunden sei. Es habe sich zudem herausgestellt, dass seine Schwester (N ...) bereits früher in die Schweiz eingereist sei. Von dieser Tatsache habe er zuvor keine Kenntnis gehabt. Er habe einen grösseren Bezug zur Schweiz als zu Italien. In Italien verfüge er über keinerlei Beziehungen. Zudem sei er schutzbedürftig und ohne Beziehungen äusserst schwach, weshalb er darauf angewiesen sei, bei seinen Verwandten bleiben zu können. Er habe aus Art. 8 EMRK sowie von Art. 17 Abs. 1 Dublin-III-VO einen Anspruch auf einen Verbleib in der Schweiz.</w:t>
      </w:r>
    </w:p>
    <w:p>
      <w:r>
        <w:rPr>
          <w:b/>
        </w:rPr>
        <w:t>E. 5.2</w:t>
      </w:r>
    </w:p>
    <w:p>
      <w:r>
        <w:t>Aus dem Eurodac-Datenblatt geht hervor, dass der Beschwerdeführer entgegen seinen Ausführungen am 4. November 2016 in Italien ein Asylgesuch eingereicht hat. Die Vorinstanz ist somit in Anwendung von Art. 18 Abs. 1 Bst. b Dublin-III-VO zutreffend von der grundsätzlichen Zuständigkeit Italiens für die Durchführung des Asyl- und Wegweisungsverfahrens ausgegangen. Dabei ist unerheblich, dass Italien innert der gesetzlichen Frist von zwei Monaten nicht ausdrücklich Stellung genommen hat. Mit dem Stillschweigen hat Italien seine Zuständigkeit aufgrund der sogenannten Verfristung akzeptiert (Art. 22 Abs. 1 und 7 Dublin-III-VO).</w:t>
      </w:r>
    </w:p>
    <w:p>
      <w:r>
        <w:rPr>
          <w:b/>
        </w:rPr>
        <w:t>E. 5.3</w:t>
      </w:r>
    </w:p>
    <w:p>
      <w:r>
        <w:t>Der Wunsch nach einem Verbleib in der Schweiz hat keinen Einfluss auf die Zuständigkeit für das Asyl- und Wegweisungsverfahren. Wie die Vorinstanz in der angefochtenen Verfügung bereits zutreffend festhielt, fallen Eltern sowie Geschwister nicht unter Familienangehörige im Sinne von Art. 2 Bst. g Dublin-III-VO. Dass der Beschwerdeführer in der Zwischenzeit herausgefunden hat, dass sich seine Schwester ebenfalls in der Schweiz befindet, vermag daran nichts zu ändern. Er kann aus Art. 8 EMRK respektive Art. 2 Bst. g Dublin-III-VO keine Rechtsansprüche ableiten. Weiter bestehen auch keine Hinweise auf ein besonderes Abhängigkeitsverhältnis im Sinne von Art. 16 Dublin-III-VO. Im Übrigen ist anzumerken, dass es dem Beschwerdeführer auch von Italien aus möglich ist, den Kontakt zu seiner Familie zu halten. Um Wiederholungen zu vermeiden, kann auf die zutreffenden Ausführungen in der angefochtenen Verfügung verwiesen werden.</w:t>
      </w:r>
    </w:p>
    <w:p>
      <w:r>
        <w:rPr>
          <w:b/>
        </w:rPr>
        <w:t>E. 5.4</w:t>
      </w:r>
    </w:p>
    <w:p>
      <w:r>
        <w:t>Der Beschwerdeführer bringt weiter vor, in Italien würden unzumutbare Verhältnisse herrschen. Die Asylzentren in Italien seien überfüllt. Eine Überstellung nach Italien stelle eine Verletzung von Art. 3 EMRK sowie Art. 3 Abs. 2 Dublin-III-VO dar. In der Rechtsmitteleingabe wird nicht ansatzweise substantiiert, inwiefern im Fall des Beschwerdeführers bei einer Überstellung nach Italien eine Verletzung von Art. 3 EMRK vorliegen soll.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der Aufnahmerichtlinie und der Richtlinie des Europäischen Parlaments und des Rates 2013/32/EU vom 26. Juni 2013 zu gemeinsamen Verfahren für die Zuerkennung und Aberkennung des internationalen Schutzes (sog. Verfahrensrichtlinie) ergeben. Sodann stellte auch der Europäische Gerichtshof für Menschenrechte (EGMR) in Bezug auf Italien keine systemischen Mängel an Unterstützung und Einrichtungen für Asylsuchende fest (vgl. Urteil EGMR vom 2. April 2013, Mohammed Hussein und andere gegen Niederlande, Nr. 27725/10, siehe zu Italien auch Urteil EGMR vom 30. Juni 2015 A.S. gegen Schweiz, Nr. 39350/13). Unter diesen Umständen ist die Anwendung von Art. 3 Abs. 2 Dublin-III-VO nicht gerechtfertigt. Es liegen somit keine Anhaltspunkte vor, dass Italien seine staatsvertraglichen Verpflichtungen missachtet und den Beschwerdeführer unter Verletzung von Art. 3 EMRK einer menschenunwürdigen oder erniedrigenden Behandlung ausgesetzt wäre, oder dass das flüchtlingsrechtliche Non-Refoulement-Gebot verletzt würde.</w:t>
      </w:r>
    </w:p>
    <w:p>
      <w:r>
        <w:rPr>
          <w:b/>
        </w:rPr>
        <w:t>E. 5.5</w:t>
      </w:r>
    </w:p>
    <w:p>
      <w:r>
        <w:t>Die Schlussfolgerung der Vorinstanz ist in Anbetracht der vorstehenden Erwägungen weder in rechtlicher noch tatsächlicher Hinsicht zu beanstanden. Die Ausführungen in der Rechtsmitteleingabe sind nicht geeignet, einen anderen Schluss zu ziehen. Die Vorinstanz ist somit zutreffend von der Zuständigkeit Italiens ausgegangen und in Anwendung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6.1</w:t>
      </w:r>
    </w:p>
    <w:p>
      <w:r>
        <w:t>Nach dem Gesagten ergibt sich, dass die angefochtene Verfügung Bundesrecht nicht verletzt und auch sonst nicht zu beanstanden ist (Art. 106 AsylG). Die Beschwerde ist abzuweisen.</w:t>
      </w:r>
    </w:p>
    <w:p>
      <w:r>
        <w:rPr>
          <w:b/>
        </w:rPr>
        <w:t>E. 6.2</w:t>
      </w:r>
    </w:p>
    <w:p>
      <w:r>
        <w:t>Mit dem vorliegenden Urteil ist der Antrag auf Gewährung der aufschiebenden Wirkung der Beschwerde gegenstandslos geworden.</w:t>
      </w:r>
    </w:p>
    <w:p>
      <w:r>
        <w:rPr>
          <w:b/>
        </w:rPr>
        <w:t>E. 7.1</w:t>
      </w:r>
    </w:p>
    <w:p>
      <w:r>
        <w:t>Der Beschwerdeführer beantragt die Gewährung der unentgeltlichen Prozessführung. Gemäss Art. 65 Abs. 1 VwVG befreit die Beschwerdeinstanz eine Partei, die nicht über die erforderlichen Mittel verfügt, auf Antrag von der Bezahlung der Verfahrenskosten, sofern ihr Begehren nicht aussichtslos erscheint. Aufgrund der vorstehenden Erwägungen ergibt sich, dass die Vorbringen des Beschwerdeführers als aussichtslos zu gelten haben. Damit ist eine der kumulativ zu erfüllenden Voraussetzungen zur Gewährung der unentgeltlichen Prozessführung nicht erfüllt. Das Gesuch ist abzuweisen.</w:t>
      </w:r>
    </w:p>
    <w:p>
      <w:r>
        <w:rPr>
          <w:b/>
        </w:rPr>
        <w:t>E. 7.2</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